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1939" w14:textId="77777777" w:rsidR="00305E64" w:rsidRDefault="00305E64" w:rsidP="00305E64">
      <w:pPr>
        <w:jc w:val="center"/>
        <w:rPr>
          <w:rFonts w:ascii="Times New Roman" w:eastAsia="Times New Roman" w:hAnsi="Times New Roman" w:cs="Times New Roman"/>
          <w:b/>
          <w:bCs/>
          <w:sz w:val="52"/>
          <w:szCs w:val="52"/>
        </w:rPr>
      </w:pPr>
      <w:r w:rsidRPr="00305E64">
        <w:rPr>
          <w:rFonts w:ascii="Times New Roman" w:eastAsia="Times New Roman" w:hAnsi="Times New Roman" w:cs="Times New Roman"/>
          <w:b/>
          <w:bCs/>
          <w:sz w:val="52"/>
          <w:szCs w:val="52"/>
        </w:rPr>
        <w:t>Court</w:t>
      </w:r>
      <w:r>
        <w:rPr>
          <w:rFonts w:ascii="Times New Roman" w:eastAsia="Times New Roman" w:hAnsi="Times New Roman" w:cs="Times New Roman"/>
          <w:b/>
          <w:bCs/>
          <w:sz w:val="52"/>
          <w:szCs w:val="52"/>
        </w:rPr>
        <w:t xml:space="preserve"> Security Specialist </w:t>
      </w:r>
      <w:r w:rsidRPr="00305E64">
        <w:rPr>
          <w:rFonts w:ascii="Times New Roman" w:eastAsia="Times New Roman" w:hAnsi="Times New Roman" w:cs="Times New Roman"/>
          <w:b/>
          <w:bCs/>
          <w:sz w:val="52"/>
          <w:szCs w:val="52"/>
        </w:rPr>
        <w:t>Update Course Objectives</w:t>
      </w:r>
    </w:p>
    <w:p w14:paraId="36C75E20" w14:textId="77777777" w:rsidR="00305E64" w:rsidRDefault="00305E64" w:rsidP="00305E64">
      <w:pPr>
        <w:jc w:val="center"/>
        <w:rPr>
          <w:rFonts w:ascii="Times New Roman" w:eastAsia="Times New Roman" w:hAnsi="Times New Roman" w:cs="Times New Roman"/>
          <w:b/>
          <w:bCs/>
          <w:sz w:val="52"/>
          <w:szCs w:val="52"/>
        </w:rPr>
      </w:pPr>
    </w:p>
    <w:p w14:paraId="1972B0DE" w14:textId="77777777" w:rsidR="00305E64" w:rsidRDefault="00305E64" w:rsidP="00305E64">
      <w:pPr>
        <w:rPr>
          <w:rFonts w:ascii="Times New Roman" w:eastAsia="Times New Roman" w:hAnsi="Times New Roman" w:cs="Times New Roman"/>
          <w:b/>
          <w:bCs/>
          <w:sz w:val="52"/>
          <w:szCs w:val="52"/>
        </w:rPr>
      </w:pPr>
    </w:p>
    <w:p w14:paraId="5FF7F3D0" w14:textId="77777777" w:rsidR="00305E64" w:rsidRDefault="00305E64" w:rsidP="00305E64">
      <w:pPr>
        <w:rPr>
          <w:rFonts w:ascii="Times New Roman" w:eastAsia="Times New Roman" w:hAnsi="Times New Roman" w:cs="Times New Roman"/>
          <w:b/>
          <w:bCs/>
          <w:sz w:val="52"/>
          <w:szCs w:val="52"/>
        </w:rPr>
      </w:pPr>
    </w:p>
    <w:p w14:paraId="4651511F" w14:textId="77777777" w:rsidR="00305E64" w:rsidRPr="00305E64" w:rsidRDefault="00305E64" w:rsidP="00305E64">
      <w:pPr>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14:anchorId="39994EAB" wp14:editId="496BD13C">
            <wp:extent cx="4025364" cy="39898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leoseseal-1_no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1373" cy="4025589"/>
                    </a:xfrm>
                    <a:prstGeom prst="rect">
                      <a:avLst/>
                    </a:prstGeom>
                  </pic:spPr>
                </pic:pic>
              </a:graphicData>
            </a:graphic>
          </wp:inline>
        </w:drawing>
      </w:r>
    </w:p>
    <w:p w14:paraId="38A1F4F1" w14:textId="77777777" w:rsidR="00305E64" w:rsidRDefault="00305E64" w:rsidP="00305E64">
      <w:pPr>
        <w:jc w:val="center"/>
        <w:rPr>
          <w:rFonts w:ascii="Times New Roman" w:eastAsia="Times New Roman" w:hAnsi="Times New Roman" w:cs="Times New Roman"/>
          <w:b/>
          <w:bCs/>
          <w:sz w:val="36"/>
          <w:szCs w:val="36"/>
        </w:rPr>
      </w:pPr>
    </w:p>
    <w:p w14:paraId="383EA3DC" w14:textId="77777777" w:rsidR="00305E64" w:rsidRPr="00305E64" w:rsidRDefault="00305E64" w:rsidP="00305E64">
      <w:pPr>
        <w:jc w:val="center"/>
        <w:rPr>
          <w:rFonts w:ascii="Times New Roman" w:eastAsia="Times New Roman" w:hAnsi="Times New Roman" w:cs="Times New Roman"/>
          <w:b/>
          <w:bCs/>
          <w:sz w:val="36"/>
          <w:szCs w:val="36"/>
        </w:rPr>
      </w:pPr>
      <w:r w:rsidRPr="00305E64">
        <w:rPr>
          <w:rFonts w:ascii="Times New Roman" w:eastAsia="Times New Roman" w:hAnsi="Times New Roman" w:cs="Times New Roman"/>
          <w:b/>
          <w:bCs/>
          <w:sz w:val="36"/>
          <w:szCs w:val="36"/>
        </w:rPr>
        <w:t>Course #21015</w:t>
      </w:r>
    </w:p>
    <w:p w14:paraId="5620EE63" w14:textId="77777777" w:rsidR="00305E64" w:rsidRPr="00305E64" w:rsidRDefault="00305E64" w:rsidP="00305E64">
      <w:pPr>
        <w:jc w:val="center"/>
        <w:rPr>
          <w:rFonts w:ascii="Times New Roman" w:eastAsia="Times New Roman" w:hAnsi="Times New Roman" w:cs="Times New Roman"/>
          <w:b/>
          <w:bCs/>
          <w:sz w:val="36"/>
          <w:szCs w:val="36"/>
        </w:rPr>
      </w:pPr>
    </w:p>
    <w:p w14:paraId="48662009" w14:textId="77777777" w:rsidR="00305E64" w:rsidRPr="00305E64" w:rsidRDefault="00305E64" w:rsidP="00305E64">
      <w:pPr>
        <w:jc w:val="center"/>
        <w:rPr>
          <w:rFonts w:ascii="Times New Roman" w:eastAsia="Times New Roman" w:hAnsi="Times New Roman" w:cs="Times New Roman"/>
          <w:b/>
          <w:bCs/>
          <w:sz w:val="36"/>
          <w:szCs w:val="36"/>
        </w:rPr>
      </w:pPr>
      <w:r w:rsidRPr="00305E64">
        <w:rPr>
          <w:rFonts w:ascii="Times New Roman" w:eastAsia="Times New Roman" w:hAnsi="Times New Roman" w:cs="Times New Roman"/>
          <w:b/>
          <w:bCs/>
          <w:sz w:val="36"/>
          <w:szCs w:val="36"/>
        </w:rPr>
        <w:t>Texas Commission on Law Enforcement</w:t>
      </w:r>
    </w:p>
    <w:p w14:paraId="10E7CB78" w14:textId="77777777" w:rsidR="00305E64" w:rsidRPr="00305E64" w:rsidRDefault="00305E64" w:rsidP="00305E64">
      <w:pPr>
        <w:jc w:val="center"/>
        <w:rPr>
          <w:rFonts w:ascii="Times New Roman" w:eastAsia="Times New Roman" w:hAnsi="Times New Roman" w:cs="Times New Roman"/>
          <w:b/>
          <w:bCs/>
          <w:sz w:val="36"/>
          <w:szCs w:val="36"/>
        </w:rPr>
      </w:pPr>
    </w:p>
    <w:p w14:paraId="27757809" w14:textId="5160C1B8" w:rsidR="00305E64" w:rsidRPr="00305E64" w:rsidRDefault="00553721" w:rsidP="00305E64">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October 23, 2018</w:t>
      </w:r>
    </w:p>
    <w:p w14:paraId="608AC902" w14:textId="77777777" w:rsidR="00F02B58" w:rsidRDefault="00F02B58" w:rsidP="009154DF">
      <w:pPr>
        <w:jc w:val="center"/>
        <w:rPr>
          <w:b/>
          <w:sz w:val="32"/>
          <w:szCs w:val="32"/>
        </w:rPr>
      </w:pPr>
    </w:p>
    <w:p w14:paraId="474E4677" w14:textId="77777777" w:rsidR="00F02B58" w:rsidRDefault="00F02B58">
      <w:pPr>
        <w:rPr>
          <w:b/>
          <w:sz w:val="32"/>
          <w:szCs w:val="32"/>
        </w:rPr>
      </w:pPr>
      <w:r>
        <w:rPr>
          <w:b/>
          <w:sz w:val="32"/>
          <w:szCs w:val="32"/>
        </w:rPr>
        <w:br w:type="page"/>
      </w:r>
    </w:p>
    <w:p w14:paraId="20F21CEC" w14:textId="77777777" w:rsidR="00305E64" w:rsidRDefault="00305E64">
      <w:pPr>
        <w:rPr>
          <w:b/>
          <w:sz w:val="32"/>
          <w:szCs w:val="32"/>
        </w:rPr>
      </w:pPr>
    </w:p>
    <w:p w14:paraId="034C4D79" w14:textId="77777777" w:rsidR="00305E64" w:rsidRDefault="00305E64">
      <w:pPr>
        <w:rPr>
          <w:b/>
          <w:sz w:val="32"/>
          <w:szCs w:val="32"/>
        </w:rPr>
      </w:pPr>
    </w:p>
    <w:p w14:paraId="2144D63A" w14:textId="77777777" w:rsidR="00990738" w:rsidRPr="009154DF" w:rsidRDefault="00BB3BF4" w:rsidP="009154DF">
      <w:pPr>
        <w:jc w:val="center"/>
        <w:rPr>
          <w:b/>
          <w:sz w:val="32"/>
          <w:szCs w:val="32"/>
        </w:rPr>
      </w:pPr>
      <w:r w:rsidRPr="009154DF">
        <w:rPr>
          <w:b/>
          <w:sz w:val="32"/>
          <w:szCs w:val="32"/>
        </w:rPr>
        <w:t>Court S</w:t>
      </w:r>
      <w:r w:rsidR="00F02B58">
        <w:rPr>
          <w:b/>
          <w:sz w:val="32"/>
          <w:szCs w:val="32"/>
        </w:rPr>
        <w:t>ecurity Specialist Update (21015</w:t>
      </w:r>
      <w:r w:rsidRPr="009154DF">
        <w:rPr>
          <w:b/>
          <w:sz w:val="32"/>
          <w:szCs w:val="32"/>
        </w:rPr>
        <w:t>)</w:t>
      </w:r>
    </w:p>
    <w:p w14:paraId="68DB3C8C" w14:textId="77777777" w:rsidR="009612A2" w:rsidRPr="009612A2" w:rsidRDefault="009612A2" w:rsidP="009612A2">
      <w:pPr>
        <w:jc w:val="both"/>
      </w:pPr>
    </w:p>
    <w:p w14:paraId="3DAEB0A9" w14:textId="77777777" w:rsidR="009612A2" w:rsidRDefault="009612A2" w:rsidP="009612A2">
      <w:pPr>
        <w:pStyle w:val="Subtitle"/>
        <w:ind w:left="2160" w:hanging="2160"/>
        <w:jc w:val="both"/>
        <w:rPr>
          <w:rFonts w:ascii="Arial" w:hAnsi="Arial" w:cs="Arial"/>
          <w:sz w:val="24"/>
        </w:rPr>
      </w:pPr>
      <w:r w:rsidRPr="00023A8A">
        <w:rPr>
          <w:rFonts w:ascii="Arial" w:hAnsi="Arial" w:cs="Arial"/>
          <w:b/>
          <w:sz w:val="24"/>
        </w:rPr>
        <w:t>Abstract:</w:t>
      </w:r>
      <w:r w:rsidRPr="009612A2">
        <w:rPr>
          <w:rFonts w:ascii="Arial" w:hAnsi="Arial" w:cs="Arial"/>
          <w:sz w:val="24"/>
        </w:rPr>
        <w:tab/>
        <w:t>To keep the court security specialist certificate valid, the holder must successfully c</w:t>
      </w:r>
      <w:r w:rsidR="00F02B58">
        <w:rPr>
          <w:rFonts w:ascii="Arial" w:hAnsi="Arial" w:cs="Arial"/>
          <w:sz w:val="24"/>
        </w:rPr>
        <w:t>omplete an update course (#21015</w:t>
      </w:r>
      <w:r w:rsidRPr="009612A2">
        <w:rPr>
          <w:rFonts w:ascii="Arial" w:hAnsi="Arial" w:cs="Arial"/>
          <w:sz w:val="24"/>
        </w:rPr>
        <w:t xml:space="preserve">) or be assigned primarily as a court security specialist by the appointing chief administrator once every two years. </w:t>
      </w:r>
    </w:p>
    <w:p w14:paraId="71BC0926" w14:textId="77777777" w:rsidR="009612A2" w:rsidRDefault="009612A2" w:rsidP="009612A2">
      <w:pPr>
        <w:pStyle w:val="Subtitle"/>
        <w:ind w:left="2160" w:hanging="2160"/>
        <w:jc w:val="both"/>
        <w:rPr>
          <w:rFonts w:ascii="Arial" w:hAnsi="Arial" w:cs="Arial"/>
          <w:sz w:val="24"/>
        </w:rPr>
      </w:pPr>
    </w:p>
    <w:p w14:paraId="55B7FB21" w14:textId="77777777" w:rsidR="009612A2" w:rsidRPr="00B644F1" w:rsidRDefault="009612A2" w:rsidP="009612A2">
      <w:pPr>
        <w:pStyle w:val="Subtitle"/>
        <w:ind w:left="2160"/>
        <w:jc w:val="both"/>
        <w:rPr>
          <w:rFonts w:ascii="Arial" w:hAnsi="Arial" w:cs="Arial"/>
          <w:sz w:val="24"/>
        </w:rPr>
      </w:pPr>
      <w:r w:rsidRPr="00B644F1">
        <w:rPr>
          <w:rFonts w:ascii="Arial" w:hAnsi="Arial" w:cs="Arial"/>
          <w:sz w:val="24"/>
        </w:rPr>
        <w:t xml:space="preserve">If the certificate becomes invalid, a holder may obtain a new certificate under the initial application standards. Refer to TCOLE website for current copy of application form: </w:t>
      </w:r>
      <w:hyperlink r:id="rId10" w:history="1">
        <w:r w:rsidR="00BC6883" w:rsidRPr="00A935B1">
          <w:rPr>
            <w:rStyle w:val="Hyperlink"/>
            <w:rFonts w:ascii="Arial" w:hAnsi="Arial" w:cs="Arial"/>
            <w:sz w:val="24"/>
          </w:rPr>
          <w:t>www.tcole.texas.gov</w:t>
        </w:r>
      </w:hyperlink>
      <w:r w:rsidR="00BC6883">
        <w:rPr>
          <w:rFonts w:ascii="Arial" w:hAnsi="Arial" w:cs="Arial"/>
          <w:sz w:val="24"/>
        </w:rPr>
        <w:t xml:space="preserve">. </w:t>
      </w:r>
    </w:p>
    <w:p w14:paraId="0E29F270" w14:textId="77777777" w:rsidR="009612A2" w:rsidRPr="00B644F1" w:rsidRDefault="009612A2" w:rsidP="009612A2">
      <w:pPr>
        <w:pStyle w:val="Subtitle"/>
        <w:jc w:val="both"/>
        <w:rPr>
          <w:rFonts w:ascii="Arial" w:hAnsi="Arial" w:cs="Arial"/>
          <w:sz w:val="24"/>
        </w:rPr>
      </w:pPr>
    </w:p>
    <w:p w14:paraId="7A46772B" w14:textId="77777777" w:rsidR="009612A2" w:rsidRPr="00B644F1" w:rsidRDefault="009612A2" w:rsidP="009612A2">
      <w:pPr>
        <w:pStyle w:val="Subtitle"/>
        <w:ind w:left="2160"/>
        <w:jc w:val="both"/>
        <w:rPr>
          <w:rFonts w:ascii="Arial" w:hAnsi="Arial" w:cs="Arial"/>
          <w:sz w:val="24"/>
        </w:rPr>
      </w:pPr>
      <w:r w:rsidRPr="00B644F1">
        <w:rPr>
          <w:rFonts w:ascii="Arial" w:hAnsi="Arial" w:cs="Arial"/>
          <w:sz w:val="24"/>
        </w:rPr>
        <w:t>It is the responsibility of the training coordinator</w:t>
      </w:r>
      <w:r w:rsidR="00E951CA">
        <w:rPr>
          <w:rFonts w:ascii="Arial" w:hAnsi="Arial" w:cs="Arial"/>
          <w:sz w:val="24"/>
        </w:rPr>
        <w:t xml:space="preserve"> to ensure that a lesson plan is</w:t>
      </w:r>
      <w:r w:rsidRPr="00B644F1">
        <w:rPr>
          <w:rFonts w:ascii="Arial" w:hAnsi="Arial" w:cs="Arial"/>
          <w:sz w:val="24"/>
        </w:rPr>
        <w:t xml:space="preserve"> const</w:t>
      </w:r>
      <w:r w:rsidR="00E951CA">
        <w:rPr>
          <w:rFonts w:ascii="Arial" w:hAnsi="Arial" w:cs="Arial"/>
          <w:sz w:val="24"/>
        </w:rPr>
        <w:t>ructed for this course</w:t>
      </w:r>
      <w:r w:rsidRPr="00B644F1">
        <w:rPr>
          <w:rFonts w:ascii="Arial" w:hAnsi="Arial" w:cs="Arial"/>
          <w:sz w:val="24"/>
        </w:rPr>
        <w:t xml:space="preserve"> per the attached course objectives </w:t>
      </w:r>
      <w:r w:rsidR="00E951CA">
        <w:rPr>
          <w:rFonts w:ascii="Arial" w:hAnsi="Arial" w:cs="Arial"/>
          <w:sz w:val="24"/>
        </w:rPr>
        <w:t xml:space="preserve">and instructor resource guide </w:t>
      </w:r>
      <w:r w:rsidRPr="00B644F1">
        <w:rPr>
          <w:rFonts w:ascii="Arial" w:hAnsi="Arial" w:cs="Arial"/>
          <w:sz w:val="24"/>
        </w:rPr>
        <w:t xml:space="preserve">and this curriculum and lesson plans are kept up to date and on file at your individual departments or academies. This procedure should be completed per guidelines obtained from the rules section of the commission website at: </w:t>
      </w:r>
      <w:hyperlink r:id="rId11" w:history="1">
        <w:r w:rsidR="00B316C5" w:rsidRPr="00A935B1">
          <w:rPr>
            <w:rStyle w:val="Hyperlink"/>
            <w:rFonts w:ascii="Arial" w:hAnsi="Arial" w:cs="Arial"/>
            <w:sz w:val="24"/>
          </w:rPr>
          <w:t>www.tcole.texas.gov</w:t>
        </w:r>
      </w:hyperlink>
      <w:r w:rsidR="00B316C5">
        <w:rPr>
          <w:rFonts w:ascii="Arial" w:hAnsi="Arial" w:cs="Arial"/>
          <w:sz w:val="24"/>
        </w:rPr>
        <w:t xml:space="preserve">. </w:t>
      </w:r>
    </w:p>
    <w:p w14:paraId="7C56AD92" w14:textId="77777777" w:rsidR="009612A2" w:rsidRPr="009612A2" w:rsidRDefault="009612A2" w:rsidP="009612A2">
      <w:pPr>
        <w:pStyle w:val="Subtitle"/>
        <w:ind w:left="2160" w:hanging="2160"/>
        <w:jc w:val="both"/>
        <w:rPr>
          <w:rFonts w:ascii="Arial" w:hAnsi="Arial" w:cs="Arial"/>
          <w:sz w:val="24"/>
        </w:rPr>
      </w:pPr>
    </w:p>
    <w:p w14:paraId="244DAB1C" w14:textId="77777777" w:rsidR="009612A2" w:rsidRDefault="009612A2" w:rsidP="009612A2">
      <w:pPr>
        <w:ind w:left="2160"/>
        <w:jc w:val="both"/>
      </w:pPr>
      <w:r>
        <w:t>This portion of the course is designed for those wishing to keep their Court Securi</w:t>
      </w:r>
      <w:r w:rsidR="00F4480F">
        <w:t>ty Specialist certificate valid – Court S</w:t>
      </w:r>
      <w:r w:rsidR="00F02B58">
        <w:t>ecurity Specialist Update (21015</w:t>
      </w:r>
      <w:r w:rsidR="00F4480F">
        <w:t>).</w:t>
      </w:r>
    </w:p>
    <w:p w14:paraId="064D587B" w14:textId="77777777" w:rsidR="008A1692" w:rsidRDefault="008A1692" w:rsidP="009612A2">
      <w:pPr>
        <w:ind w:left="2160"/>
        <w:jc w:val="both"/>
      </w:pPr>
    </w:p>
    <w:p w14:paraId="60481D61" w14:textId="329210B5" w:rsidR="008A1692" w:rsidRPr="008A1692" w:rsidRDefault="008A1692" w:rsidP="009612A2">
      <w:pPr>
        <w:ind w:left="2160"/>
        <w:jc w:val="both"/>
        <w:rPr>
          <w:b/>
        </w:rPr>
      </w:pPr>
      <w:r>
        <w:rPr>
          <w:b/>
          <w:u w:val="single"/>
        </w:rPr>
        <w:t>Note:</w:t>
      </w:r>
      <w:r>
        <w:rPr>
          <w:b/>
        </w:rPr>
        <w:t xml:space="preserve">  This class only renews the TCOLE Court Security Specialist Certification. It does not count towards TCOLE 10999 or other court security training requirements. </w:t>
      </w:r>
    </w:p>
    <w:p w14:paraId="52AA0865" w14:textId="77777777" w:rsidR="00BB3BF4" w:rsidRDefault="00BB3BF4" w:rsidP="009612A2">
      <w:pPr>
        <w:jc w:val="both"/>
      </w:pPr>
    </w:p>
    <w:p w14:paraId="6010DF82" w14:textId="77777777" w:rsidR="00E60569" w:rsidRDefault="00023A8A" w:rsidP="00E951CA">
      <w:pPr>
        <w:ind w:left="2160" w:hanging="2160"/>
        <w:jc w:val="both"/>
      </w:pPr>
      <w:r w:rsidRPr="000704A2">
        <w:rPr>
          <w:b/>
        </w:rPr>
        <w:t>Instructor(s):</w:t>
      </w:r>
      <w:r w:rsidRPr="000704A2">
        <w:rPr>
          <w:b/>
        </w:rPr>
        <w:tab/>
      </w:r>
      <w:r w:rsidR="00E951CA">
        <w:t xml:space="preserve"> TCOLE instructor and/or documented experience in content area of court security or similar security areas; and a Defensive Tactics instructor and/or firearms instructor for scenario portion of curriculum.</w:t>
      </w:r>
    </w:p>
    <w:p w14:paraId="025B6FBF" w14:textId="77777777" w:rsidR="00023A8A" w:rsidRDefault="00023A8A" w:rsidP="00023A8A">
      <w:pPr>
        <w:jc w:val="both"/>
      </w:pPr>
    </w:p>
    <w:p w14:paraId="32F95300" w14:textId="6EEC85DD" w:rsidR="00E27E04" w:rsidRPr="0025649B" w:rsidRDefault="00023A8A" w:rsidP="00E27E04">
      <w:pPr>
        <w:ind w:left="2160" w:hanging="2160"/>
        <w:jc w:val="both"/>
      </w:pPr>
      <w:r>
        <w:rPr>
          <w:b/>
        </w:rPr>
        <w:t>Prepared by:</w:t>
      </w:r>
      <w:r>
        <w:tab/>
      </w:r>
      <w:r w:rsidR="00E27E04">
        <w:t>This</w:t>
      </w:r>
      <w:r w:rsidR="00E27E04" w:rsidRPr="0025649B">
        <w:t xml:space="preserve"> version of the instructor resource guide was prepared by the TCOLE curriculum committee consisting of: Susan K. Gregory-Brundage, TCOLE; Constable Randy Harris, Tom Green County Pct. 4; Marshal John Morris, City of Waxahachie; Chief Deputy Constable Bobby Gutierrez, Travis County Pct. 5; Sgt. Terry Fahrlender, Lubbock County Sheriff’s Office; Chief Scott Rubin, Fair Oaks Ranch Police Department; Officer Fred Pitcher, Georgetown Police Department; Hector Gomez, Texas Office of Court Administration.</w:t>
      </w:r>
    </w:p>
    <w:p w14:paraId="21F20077" w14:textId="77777777" w:rsidR="00E27E04" w:rsidRPr="00E27E04" w:rsidRDefault="00E27E04" w:rsidP="00E27E04">
      <w:pPr>
        <w:jc w:val="both"/>
      </w:pPr>
    </w:p>
    <w:p w14:paraId="5C08AA6C" w14:textId="77777777" w:rsidR="00023A8A" w:rsidRDefault="00023A8A" w:rsidP="00023A8A">
      <w:pPr>
        <w:jc w:val="both"/>
      </w:pPr>
    </w:p>
    <w:p w14:paraId="537EDF3A" w14:textId="77777777" w:rsidR="00023A8A" w:rsidRDefault="00023A8A" w:rsidP="00023A8A">
      <w:pPr>
        <w:jc w:val="both"/>
      </w:pPr>
      <w:r>
        <w:rPr>
          <w:b/>
        </w:rPr>
        <w:t>Time Allotted:</w:t>
      </w:r>
      <w:r>
        <w:tab/>
        <w:t>Minimum of</w:t>
      </w:r>
      <w:r w:rsidR="00E951CA">
        <w:t xml:space="preserve"> four (4</w:t>
      </w:r>
      <w:r w:rsidR="00101369">
        <w:t>) hours</w:t>
      </w:r>
    </w:p>
    <w:p w14:paraId="4546A6C9" w14:textId="77777777" w:rsidR="00023A8A" w:rsidRDefault="00023A8A" w:rsidP="00023A8A">
      <w:pPr>
        <w:jc w:val="both"/>
      </w:pPr>
    </w:p>
    <w:p w14:paraId="42794A61" w14:textId="743B8371" w:rsidR="00023A8A" w:rsidRPr="00321F0E" w:rsidRDefault="00023A8A" w:rsidP="00E951CA">
      <w:pPr>
        <w:ind w:left="2160" w:hanging="2160"/>
        <w:jc w:val="both"/>
      </w:pPr>
      <w:r>
        <w:rPr>
          <w:b/>
        </w:rPr>
        <w:t>Target Population:</w:t>
      </w:r>
      <w:r>
        <w:tab/>
      </w:r>
      <w:r w:rsidR="00E951CA">
        <w:t xml:space="preserve"> This course is intended </w:t>
      </w:r>
      <w:r w:rsidR="00795C48">
        <w:t xml:space="preserve">as an update course </w:t>
      </w:r>
      <w:r w:rsidR="00E951CA">
        <w:t xml:space="preserve">for law enforcement and corrections personnel wishing to obtain knowledge, proficiency and/or certification in the arena of court security, including courtroom and courthouse security and working high security and/or high profile trials.   </w:t>
      </w:r>
    </w:p>
    <w:p w14:paraId="42275184" w14:textId="77777777" w:rsidR="00023A8A" w:rsidRDefault="00023A8A" w:rsidP="00023A8A">
      <w:pPr>
        <w:jc w:val="both"/>
      </w:pPr>
    </w:p>
    <w:p w14:paraId="796F0C77" w14:textId="36A85E6E" w:rsidR="00023A8A" w:rsidRDefault="00023A8A" w:rsidP="00023A8A">
      <w:pPr>
        <w:ind w:left="2160" w:hanging="2160"/>
        <w:jc w:val="both"/>
      </w:pPr>
      <w:r>
        <w:rPr>
          <w:b/>
        </w:rPr>
        <w:t>Prerequisites:</w:t>
      </w:r>
      <w:r w:rsidR="00795C48">
        <w:tab/>
        <w:t>Court Security Specialist Certificate</w:t>
      </w:r>
    </w:p>
    <w:p w14:paraId="47FD4726" w14:textId="77777777" w:rsidR="00023A8A" w:rsidRDefault="00023A8A" w:rsidP="00023A8A">
      <w:pPr>
        <w:jc w:val="both"/>
      </w:pPr>
    </w:p>
    <w:p w14:paraId="5A9F64E1" w14:textId="77777777" w:rsidR="00023A8A" w:rsidRDefault="00023A8A" w:rsidP="00023A8A">
      <w:pPr>
        <w:ind w:left="2160" w:hanging="2160"/>
        <w:jc w:val="both"/>
      </w:pPr>
      <w:r w:rsidRPr="00BA7C8F">
        <w:rPr>
          <w:b/>
        </w:rPr>
        <w:t>Number of Students:</w:t>
      </w:r>
      <w:r w:rsidRPr="00BA7C8F">
        <w:tab/>
      </w:r>
    </w:p>
    <w:p w14:paraId="2FEDF10B" w14:textId="77777777" w:rsidR="00023A8A" w:rsidRPr="00BA7C8F" w:rsidRDefault="00023A8A" w:rsidP="00023A8A">
      <w:pPr>
        <w:ind w:left="2160"/>
        <w:jc w:val="both"/>
      </w:pPr>
      <w:r w:rsidRPr="00BA7C8F">
        <w:t>The number of students is limited to the classroom capacit</w:t>
      </w:r>
      <w:r>
        <w:t>y and number of available seats (see also firearms instructor to participant ratios listed under “Space Requirements” below).</w:t>
      </w:r>
    </w:p>
    <w:p w14:paraId="5644FCA6" w14:textId="77777777" w:rsidR="00023A8A" w:rsidRDefault="00023A8A" w:rsidP="00023A8A">
      <w:pPr>
        <w:jc w:val="both"/>
      </w:pPr>
    </w:p>
    <w:p w14:paraId="2F9D5B5A" w14:textId="77777777" w:rsidR="00023A8A" w:rsidRDefault="00023A8A" w:rsidP="00023A8A">
      <w:pPr>
        <w:jc w:val="both"/>
      </w:pPr>
      <w:r>
        <w:rPr>
          <w:b/>
        </w:rPr>
        <w:t>Space Requirements:</w:t>
      </w:r>
      <w:r>
        <w:rPr>
          <w:b/>
        </w:rPr>
        <w:tab/>
      </w:r>
    </w:p>
    <w:p w14:paraId="42C64684" w14:textId="2A2E6BF4" w:rsidR="00023A8A" w:rsidRDefault="00023A8A" w:rsidP="00795C48">
      <w:pPr>
        <w:ind w:left="3600" w:hanging="1440"/>
        <w:jc w:val="both"/>
      </w:pPr>
      <w:bookmarkStart w:id="0" w:name="_GoBack"/>
      <w:bookmarkEnd w:id="0"/>
      <w:r>
        <w:t>A standard classroom with sufficient seating for all participants</w:t>
      </w:r>
    </w:p>
    <w:p w14:paraId="4B8BFFFB" w14:textId="77777777" w:rsidR="00023A8A" w:rsidRDefault="00023A8A" w:rsidP="00023A8A">
      <w:pPr>
        <w:ind w:left="3600" w:hanging="2880"/>
        <w:jc w:val="both"/>
      </w:pPr>
    </w:p>
    <w:p w14:paraId="445082AE" w14:textId="77777777" w:rsidR="00023A8A" w:rsidRDefault="00023A8A" w:rsidP="00023A8A">
      <w:pPr>
        <w:jc w:val="both"/>
      </w:pPr>
    </w:p>
    <w:p w14:paraId="5FB2227A" w14:textId="77777777" w:rsidR="00023A8A" w:rsidRDefault="00023A8A" w:rsidP="00023A8A">
      <w:pPr>
        <w:jc w:val="both"/>
      </w:pPr>
      <w:r>
        <w:rPr>
          <w:b/>
        </w:rPr>
        <w:t>Evaluation Procedure:</w:t>
      </w:r>
    </w:p>
    <w:p w14:paraId="4FE19748" w14:textId="77777777" w:rsidR="00023A8A" w:rsidRDefault="00E951CA" w:rsidP="00E951CA">
      <w:pPr>
        <w:ind w:left="2160"/>
        <w:jc w:val="both"/>
      </w:pPr>
      <w:r>
        <w:t xml:space="preserve">Each participant must actively interact with instructor and peers though class discussion, oral and written participation through case study, and/or and written tests as instructor and department deems appropriate. </w:t>
      </w:r>
    </w:p>
    <w:p w14:paraId="1C7593C1" w14:textId="77777777" w:rsidR="00023A8A" w:rsidRDefault="00023A8A" w:rsidP="00023A8A">
      <w:pPr>
        <w:jc w:val="both"/>
      </w:pPr>
    </w:p>
    <w:p w14:paraId="65B20A7C" w14:textId="77777777" w:rsidR="00023A8A" w:rsidRDefault="00023A8A" w:rsidP="00023A8A">
      <w:pPr>
        <w:ind w:left="2160"/>
        <w:jc w:val="both"/>
      </w:pPr>
      <w:r>
        <w:t>Participants must complete a written exam w</w:t>
      </w:r>
      <w:r w:rsidR="00E951CA">
        <w:t>ith a minimum passing score of 7</w:t>
      </w:r>
      <w:r>
        <w:t>0% or higher.</w:t>
      </w:r>
    </w:p>
    <w:p w14:paraId="7A4919CD" w14:textId="77777777" w:rsidR="00F94DBD" w:rsidRDefault="00F94DBD" w:rsidP="00023A8A">
      <w:pPr>
        <w:ind w:left="2160"/>
        <w:jc w:val="both"/>
      </w:pPr>
    </w:p>
    <w:p w14:paraId="66611008" w14:textId="77777777" w:rsidR="00023A8A" w:rsidRDefault="00023A8A" w:rsidP="00023A8A">
      <w:pPr>
        <w:jc w:val="both"/>
      </w:pPr>
      <w:r>
        <w:rPr>
          <w:b/>
        </w:rPr>
        <w:t>Method/Techniques:</w:t>
      </w:r>
    </w:p>
    <w:p w14:paraId="34B0F3D3" w14:textId="77777777" w:rsidR="00023A8A" w:rsidRDefault="00023A8A" w:rsidP="00023A8A">
      <w:pPr>
        <w:jc w:val="both"/>
      </w:pPr>
      <w:r>
        <w:tab/>
      </w:r>
      <w:r>
        <w:tab/>
      </w:r>
      <w:r>
        <w:tab/>
        <w:t>Lecture</w:t>
      </w:r>
    </w:p>
    <w:p w14:paraId="0386B53B" w14:textId="77777777" w:rsidR="00023A8A" w:rsidRDefault="00023A8A" w:rsidP="00023A8A">
      <w:pPr>
        <w:jc w:val="both"/>
      </w:pPr>
      <w:r>
        <w:tab/>
      </w:r>
      <w:r>
        <w:tab/>
      </w:r>
      <w:r>
        <w:tab/>
        <w:t>Demonstration</w:t>
      </w:r>
    </w:p>
    <w:p w14:paraId="675441C8" w14:textId="4A74E452" w:rsidR="00023A8A" w:rsidRDefault="00023A8A" w:rsidP="00023A8A">
      <w:pPr>
        <w:jc w:val="both"/>
      </w:pPr>
      <w:r>
        <w:tab/>
      </w:r>
      <w:r>
        <w:tab/>
      </w:r>
      <w:r>
        <w:tab/>
      </w:r>
    </w:p>
    <w:p w14:paraId="266C7D49" w14:textId="77777777" w:rsidR="00023A8A" w:rsidRDefault="00023A8A" w:rsidP="00023A8A">
      <w:pPr>
        <w:jc w:val="both"/>
      </w:pPr>
      <w:r>
        <w:rPr>
          <w:b/>
        </w:rPr>
        <w:t>Training Material:</w:t>
      </w:r>
      <w:r>
        <w:tab/>
        <w:t>LCD projector</w:t>
      </w:r>
    </w:p>
    <w:p w14:paraId="2B0F1504" w14:textId="77777777" w:rsidR="00023A8A" w:rsidRDefault="00023A8A" w:rsidP="00023A8A">
      <w:pPr>
        <w:jc w:val="both"/>
      </w:pPr>
      <w:r>
        <w:tab/>
      </w:r>
      <w:r>
        <w:tab/>
      </w:r>
      <w:r>
        <w:tab/>
        <w:t>Movie screen or clear wall space</w:t>
      </w:r>
    </w:p>
    <w:p w14:paraId="7CA5F678" w14:textId="77777777" w:rsidR="00023A8A" w:rsidRDefault="00023A8A" w:rsidP="00023A8A">
      <w:pPr>
        <w:ind w:left="2160"/>
        <w:jc w:val="both"/>
      </w:pPr>
      <w:r>
        <w:t>Computer with presentation software (PowerPoint or Keynote or other presentation software)</w:t>
      </w:r>
    </w:p>
    <w:p w14:paraId="05ED4665" w14:textId="77777777" w:rsidR="00023A8A" w:rsidRDefault="00023A8A" w:rsidP="00023A8A">
      <w:pPr>
        <w:jc w:val="both"/>
      </w:pPr>
      <w:r>
        <w:tab/>
      </w:r>
      <w:r>
        <w:tab/>
      </w:r>
      <w:r>
        <w:tab/>
        <w:t>Note taking material</w:t>
      </w:r>
    </w:p>
    <w:p w14:paraId="7AB23A46" w14:textId="77777777" w:rsidR="00023A8A" w:rsidRDefault="00023A8A" w:rsidP="00023A8A">
      <w:pPr>
        <w:jc w:val="both"/>
      </w:pPr>
      <w:r>
        <w:tab/>
      </w:r>
      <w:r>
        <w:tab/>
      </w:r>
      <w:r>
        <w:tab/>
        <w:t>Handouts</w:t>
      </w:r>
    </w:p>
    <w:p w14:paraId="2272885E" w14:textId="77777777" w:rsidR="00023A8A" w:rsidRDefault="00023A8A" w:rsidP="00023A8A">
      <w:pPr>
        <w:jc w:val="both"/>
      </w:pPr>
      <w:r>
        <w:tab/>
      </w:r>
      <w:r>
        <w:tab/>
      </w:r>
      <w:r>
        <w:tab/>
        <w:t>Written test and answer key</w:t>
      </w:r>
    </w:p>
    <w:p w14:paraId="508CC592" w14:textId="01680BB7" w:rsidR="00023A8A" w:rsidRDefault="00023A8A" w:rsidP="00553721">
      <w:pPr>
        <w:jc w:val="both"/>
      </w:pPr>
      <w:r>
        <w:tab/>
      </w:r>
      <w:r>
        <w:tab/>
      </w:r>
      <w:r>
        <w:tab/>
      </w:r>
    </w:p>
    <w:p w14:paraId="4384464C" w14:textId="77777777" w:rsidR="00023A8A" w:rsidRDefault="00023A8A" w:rsidP="00023A8A">
      <w:pPr>
        <w:jc w:val="both"/>
      </w:pPr>
      <w:r>
        <w:rPr>
          <w:b/>
        </w:rPr>
        <w:t>Equipment and Supplies:</w:t>
      </w:r>
      <w:r>
        <w:t xml:space="preserve"> (see Training Material above)</w:t>
      </w:r>
    </w:p>
    <w:p w14:paraId="4489A215" w14:textId="77777777" w:rsidR="00023A8A" w:rsidRDefault="00023A8A" w:rsidP="00023A8A">
      <w:pPr>
        <w:jc w:val="both"/>
      </w:pPr>
    </w:p>
    <w:p w14:paraId="6F1BDC9D" w14:textId="77777777" w:rsidR="00023A8A" w:rsidRDefault="00023A8A" w:rsidP="00023A8A">
      <w:pPr>
        <w:ind w:left="2160" w:hanging="2160"/>
        <w:jc w:val="both"/>
      </w:pPr>
      <w:r>
        <w:rPr>
          <w:b/>
        </w:rPr>
        <w:t>Student Material:</w:t>
      </w:r>
      <w:r>
        <w:tab/>
        <w:t>Note taking material such as a laptop, iPad, electronic tablet, paper and writing instruments, etc.</w:t>
      </w:r>
    </w:p>
    <w:p w14:paraId="2C0B6376" w14:textId="0F960A81" w:rsidR="00B7127C" w:rsidRPr="00A87929" w:rsidRDefault="00023A8A" w:rsidP="00553721">
      <w:pPr>
        <w:ind w:left="2160" w:hanging="2160"/>
        <w:jc w:val="both"/>
        <w:rPr>
          <w:strike/>
        </w:rPr>
      </w:pPr>
      <w:r>
        <w:rPr>
          <w:b/>
        </w:rPr>
        <w:tab/>
      </w:r>
    </w:p>
    <w:p w14:paraId="4BF3772A" w14:textId="77777777" w:rsidR="00023A8A" w:rsidRDefault="00023A8A" w:rsidP="00023A8A">
      <w:pPr>
        <w:jc w:val="both"/>
      </w:pPr>
    </w:p>
    <w:p w14:paraId="562F632B" w14:textId="77777777" w:rsidR="00023A8A" w:rsidRDefault="00023A8A" w:rsidP="00023A8A">
      <w:pPr>
        <w:ind w:left="2160" w:hanging="2160"/>
        <w:jc w:val="both"/>
        <w:rPr>
          <w:i/>
        </w:rPr>
      </w:pPr>
      <w:r w:rsidRPr="00B6098A">
        <w:rPr>
          <w:b/>
          <w:i/>
        </w:rPr>
        <w:t>Note to Instructor:</w:t>
      </w:r>
      <w:r w:rsidRPr="00B6098A">
        <w:rPr>
          <w:i/>
        </w:rPr>
        <w:tab/>
        <w:t>If any participants use electronic media to take notes and/or record portions of the program, advise the participants not to record any material deemed “security” sensitive.</w:t>
      </w:r>
    </w:p>
    <w:p w14:paraId="53E76B05" w14:textId="3041DB97" w:rsidR="00023A8A" w:rsidRPr="00A87929" w:rsidRDefault="00023A8A" w:rsidP="00553721">
      <w:pPr>
        <w:jc w:val="both"/>
        <w:rPr>
          <w:i/>
          <w:strike/>
        </w:rPr>
      </w:pPr>
    </w:p>
    <w:p w14:paraId="70017C8D" w14:textId="77777777" w:rsidR="00023A8A" w:rsidRDefault="00023A8A" w:rsidP="00023A8A">
      <w:pPr>
        <w:jc w:val="both"/>
      </w:pPr>
    </w:p>
    <w:p w14:paraId="04140FFB" w14:textId="77777777" w:rsidR="00BB3BF4" w:rsidRPr="00023A8A" w:rsidRDefault="004F19CB" w:rsidP="009612A2">
      <w:pPr>
        <w:jc w:val="both"/>
        <w:rPr>
          <w:b/>
        </w:rPr>
      </w:pPr>
      <w:r w:rsidRPr="00023A8A">
        <w:rPr>
          <w:b/>
        </w:rPr>
        <w:t>Learning Objectives</w:t>
      </w:r>
      <w:r w:rsidR="00023A8A" w:rsidRPr="00023A8A">
        <w:rPr>
          <w:b/>
        </w:rPr>
        <w:t>:</w:t>
      </w:r>
    </w:p>
    <w:p w14:paraId="10B5D33F" w14:textId="77777777" w:rsidR="004F19CB" w:rsidRPr="009612A2" w:rsidRDefault="004F19CB" w:rsidP="00023A8A">
      <w:pPr>
        <w:pStyle w:val="ListParagraph"/>
        <w:numPr>
          <w:ilvl w:val="0"/>
          <w:numId w:val="2"/>
        </w:numPr>
        <w:jc w:val="both"/>
      </w:pPr>
      <w:r w:rsidRPr="00023A8A">
        <w:rPr>
          <w:b/>
        </w:rPr>
        <w:t>Goal</w:t>
      </w:r>
      <w:r w:rsidR="00023A8A" w:rsidRPr="00023A8A">
        <w:rPr>
          <w:b/>
        </w:rPr>
        <w:t>:</w:t>
      </w:r>
      <w:r w:rsidR="00023A8A">
        <w:t xml:space="preserve"> Skill and Knowledge review an update for the Court Security Specialist</w:t>
      </w:r>
    </w:p>
    <w:p w14:paraId="2A75E12B" w14:textId="77777777" w:rsidR="004F19CB" w:rsidRPr="009612A2" w:rsidRDefault="004F19CB" w:rsidP="00023A8A">
      <w:pPr>
        <w:pStyle w:val="ListParagraph"/>
        <w:numPr>
          <w:ilvl w:val="0"/>
          <w:numId w:val="3"/>
        </w:numPr>
        <w:jc w:val="both"/>
      </w:pPr>
      <w:r w:rsidRPr="009612A2">
        <w:t>Summarize basic court security knowledge as applicable in a court setting</w:t>
      </w:r>
    </w:p>
    <w:p w14:paraId="074BFAD4" w14:textId="77777777" w:rsidR="004F19CB" w:rsidRPr="009612A2" w:rsidRDefault="004F19CB" w:rsidP="00023A8A">
      <w:pPr>
        <w:pStyle w:val="ListParagraph"/>
        <w:numPr>
          <w:ilvl w:val="0"/>
          <w:numId w:val="3"/>
        </w:numPr>
        <w:jc w:val="both"/>
      </w:pPr>
      <w:r w:rsidRPr="009612A2">
        <w:t>Identify current technological trends in court security systems</w:t>
      </w:r>
    </w:p>
    <w:p w14:paraId="6AC1076B" w14:textId="77777777" w:rsidR="00A87929" w:rsidRPr="00A87929" w:rsidRDefault="00A87929" w:rsidP="00A87929">
      <w:pPr>
        <w:pStyle w:val="ListParagraph"/>
        <w:numPr>
          <w:ilvl w:val="0"/>
          <w:numId w:val="3"/>
        </w:numPr>
        <w:jc w:val="both"/>
      </w:pPr>
      <w:r>
        <w:t>Identify current judicial protection practices</w:t>
      </w:r>
    </w:p>
    <w:p w14:paraId="0A469101" w14:textId="77777777" w:rsidR="004F19CB" w:rsidRDefault="004F19CB" w:rsidP="009612A2">
      <w:pPr>
        <w:jc w:val="both"/>
      </w:pPr>
    </w:p>
    <w:p w14:paraId="13A416C8" w14:textId="7F3B17F8" w:rsidR="008C3457" w:rsidRDefault="008C3457">
      <w:pPr>
        <w:rPr>
          <w:b/>
        </w:rPr>
      </w:pPr>
    </w:p>
    <w:p w14:paraId="190AA7A9" w14:textId="77777777" w:rsidR="00D07BFE" w:rsidRPr="001214F9" w:rsidRDefault="008C3457" w:rsidP="00D07BFE">
      <w:pPr>
        <w:rPr>
          <w:b/>
        </w:rPr>
      </w:pPr>
      <w:r>
        <w:rPr>
          <w:b/>
        </w:rPr>
        <w:t>Instructor Resource</w:t>
      </w:r>
      <w:r w:rsidR="00D07BFE">
        <w:rPr>
          <w:b/>
        </w:rPr>
        <w:t xml:space="preserve"> Guide:</w:t>
      </w:r>
    </w:p>
    <w:p w14:paraId="48CED04A" w14:textId="77777777" w:rsidR="00B662A9" w:rsidRDefault="00B662A9" w:rsidP="00B662A9">
      <w:pPr>
        <w:pStyle w:val="ListParagraph"/>
        <w:numPr>
          <w:ilvl w:val="0"/>
          <w:numId w:val="8"/>
        </w:numPr>
        <w:jc w:val="both"/>
        <w:rPr>
          <w:b/>
        </w:rPr>
      </w:pPr>
      <w:r>
        <w:rPr>
          <w:b/>
        </w:rPr>
        <w:t>21001 Introduction to Court Security Update</w:t>
      </w:r>
    </w:p>
    <w:p w14:paraId="4119952D" w14:textId="77777777" w:rsidR="00B662A9" w:rsidRDefault="00B662A9" w:rsidP="00B662A9">
      <w:pPr>
        <w:pStyle w:val="ListParagraph"/>
        <w:numPr>
          <w:ilvl w:val="1"/>
          <w:numId w:val="2"/>
        </w:numPr>
        <w:jc w:val="both"/>
      </w:pPr>
      <w:r>
        <w:t>Review 21001 course material</w:t>
      </w:r>
    </w:p>
    <w:p w14:paraId="0D7CC794" w14:textId="77777777" w:rsidR="00B662A9" w:rsidRPr="00B662A9" w:rsidRDefault="00B662A9" w:rsidP="00B662A9">
      <w:pPr>
        <w:pStyle w:val="ListParagraph"/>
        <w:numPr>
          <w:ilvl w:val="1"/>
          <w:numId w:val="2"/>
        </w:numPr>
        <w:jc w:val="both"/>
      </w:pPr>
      <w:r>
        <w:t xml:space="preserve">Overview of changes in legislation, practices and case law related to </w:t>
      </w:r>
      <w:r w:rsidR="00AD04E3">
        <w:t>court security in general</w:t>
      </w:r>
    </w:p>
    <w:p w14:paraId="07011F48" w14:textId="77777777" w:rsidR="00B662A9" w:rsidRDefault="00B662A9" w:rsidP="00B662A9">
      <w:pPr>
        <w:pStyle w:val="ListParagraph"/>
        <w:numPr>
          <w:ilvl w:val="0"/>
          <w:numId w:val="8"/>
        </w:numPr>
        <w:jc w:val="both"/>
        <w:rPr>
          <w:b/>
        </w:rPr>
      </w:pPr>
      <w:r>
        <w:rPr>
          <w:b/>
        </w:rPr>
        <w:t>21002 Bailiff Function in Court Security Update</w:t>
      </w:r>
    </w:p>
    <w:p w14:paraId="5119CE91" w14:textId="77777777" w:rsidR="00B662A9" w:rsidRDefault="00B662A9" w:rsidP="00B662A9">
      <w:pPr>
        <w:pStyle w:val="ListParagraph"/>
        <w:numPr>
          <w:ilvl w:val="1"/>
          <w:numId w:val="2"/>
        </w:numPr>
        <w:jc w:val="both"/>
      </w:pPr>
      <w:r>
        <w:t>Review 21002 course material</w:t>
      </w:r>
    </w:p>
    <w:p w14:paraId="66168077" w14:textId="77777777" w:rsidR="00B662A9" w:rsidRPr="00B662A9" w:rsidRDefault="00B662A9" w:rsidP="00B662A9">
      <w:pPr>
        <w:pStyle w:val="ListParagraph"/>
        <w:numPr>
          <w:ilvl w:val="1"/>
          <w:numId w:val="2"/>
        </w:numPr>
        <w:jc w:val="both"/>
      </w:pPr>
      <w:r>
        <w:t xml:space="preserve">Overview of changes in legislation, practices and case law </w:t>
      </w:r>
      <w:r w:rsidR="00AD04E3">
        <w:t>related to bailiff functions</w:t>
      </w:r>
    </w:p>
    <w:p w14:paraId="084B55BC" w14:textId="77777777" w:rsidR="00AD04E3" w:rsidRDefault="00B662A9" w:rsidP="00AD04E3">
      <w:pPr>
        <w:pStyle w:val="ListParagraph"/>
        <w:numPr>
          <w:ilvl w:val="0"/>
          <w:numId w:val="8"/>
        </w:numPr>
        <w:jc w:val="both"/>
        <w:rPr>
          <w:b/>
        </w:rPr>
      </w:pPr>
      <w:r>
        <w:rPr>
          <w:b/>
        </w:rPr>
        <w:t>21003 Court Security Screening Basics Update</w:t>
      </w:r>
    </w:p>
    <w:p w14:paraId="4D24D47A" w14:textId="77777777" w:rsidR="00AD04E3" w:rsidRDefault="00AD04E3" w:rsidP="00AD04E3">
      <w:pPr>
        <w:pStyle w:val="ListParagraph"/>
        <w:numPr>
          <w:ilvl w:val="1"/>
          <w:numId w:val="2"/>
        </w:numPr>
        <w:jc w:val="both"/>
      </w:pPr>
      <w:r>
        <w:t>Review 21003 course material</w:t>
      </w:r>
    </w:p>
    <w:p w14:paraId="18F83B97" w14:textId="77777777" w:rsidR="00AD04E3" w:rsidRPr="00AD04E3" w:rsidRDefault="00AD04E3" w:rsidP="00AD04E3">
      <w:pPr>
        <w:pStyle w:val="ListParagraph"/>
        <w:numPr>
          <w:ilvl w:val="1"/>
          <w:numId w:val="2"/>
        </w:numPr>
        <w:jc w:val="both"/>
      </w:pPr>
      <w:r>
        <w:t>Overview of changes in legislation, practices and case law related to court security screening</w:t>
      </w:r>
    </w:p>
    <w:p w14:paraId="0612DF95" w14:textId="77777777" w:rsidR="00B662A9" w:rsidRDefault="00B662A9" w:rsidP="00B662A9">
      <w:pPr>
        <w:pStyle w:val="ListParagraph"/>
        <w:numPr>
          <w:ilvl w:val="0"/>
          <w:numId w:val="8"/>
        </w:numPr>
        <w:jc w:val="both"/>
        <w:rPr>
          <w:b/>
        </w:rPr>
      </w:pPr>
      <w:r>
        <w:rPr>
          <w:b/>
        </w:rPr>
        <w:t>21004 Explosive Recognition and Awareness Update</w:t>
      </w:r>
    </w:p>
    <w:p w14:paraId="1D1814CC" w14:textId="77777777" w:rsidR="00AD04E3" w:rsidRDefault="00AD04E3" w:rsidP="00AD04E3">
      <w:pPr>
        <w:pStyle w:val="ListParagraph"/>
        <w:numPr>
          <w:ilvl w:val="1"/>
          <w:numId w:val="2"/>
        </w:numPr>
        <w:jc w:val="both"/>
      </w:pPr>
      <w:r>
        <w:t>Review 21004 course material</w:t>
      </w:r>
    </w:p>
    <w:p w14:paraId="3FE29C64" w14:textId="77777777" w:rsidR="00AD04E3" w:rsidRPr="00AD04E3" w:rsidRDefault="00AD04E3" w:rsidP="00AD04E3">
      <w:pPr>
        <w:pStyle w:val="ListParagraph"/>
        <w:numPr>
          <w:ilvl w:val="1"/>
          <w:numId w:val="2"/>
        </w:numPr>
        <w:jc w:val="both"/>
      </w:pPr>
      <w:r>
        <w:t>Overview of changes in legislation, practices and case law related to explosive recognition and awareness</w:t>
      </w:r>
    </w:p>
    <w:p w14:paraId="739690B3" w14:textId="77777777" w:rsidR="00B662A9" w:rsidRDefault="00B662A9" w:rsidP="00B662A9">
      <w:pPr>
        <w:pStyle w:val="ListParagraph"/>
        <w:numPr>
          <w:ilvl w:val="0"/>
          <w:numId w:val="8"/>
        </w:numPr>
        <w:jc w:val="both"/>
        <w:rPr>
          <w:b/>
        </w:rPr>
      </w:pPr>
      <w:r>
        <w:rPr>
          <w:b/>
        </w:rPr>
        <w:t>21005 Introduction to Technology Update</w:t>
      </w:r>
    </w:p>
    <w:p w14:paraId="723A2433" w14:textId="77777777" w:rsidR="00AD04E3" w:rsidRDefault="00AD04E3" w:rsidP="00AD04E3">
      <w:pPr>
        <w:pStyle w:val="ListParagraph"/>
        <w:numPr>
          <w:ilvl w:val="1"/>
          <w:numId w:val="2"/>
        </w:numPr>
        <w:jc w:val="both"/>
      </w:pPr>
      <w:r>
        <w:t>Review 21005 course material</w:t>
      </w:r>
    </w:p>
    <w:p w14:paraId="3B8BBE6D" w14:textId="77777777" w:rsidR="00AD04E3" w:rsidRPr="00AD04E3" w:rsidRDefault="00AD04E3" w:rsidP="00AD04E3">
      <w:pPr>
        <w:pStyle w:val="ListParagraph"/>
        <w:numPr>
          <w:ilvl w:val="1"/>
          <w:numId w:val="2"/>
        </w:numPr>
        <w:jc w:val="both"/>
      </w:pPr>
      <w:r>
        <w:t>Overview of changes in legislation, practices and case law related to technology</w:t>
      </w:r>
    </w:p>
    <w:p w14:paraId="7B1525D9" w14:textId="77777777" w:rsidR="00AD04E3" w:rsidRDefault="00AD04E3" w:rsidP="00B662A9">
      <w:pPr>
        <w:pStyle w:val="ListParagraph"/>
        <w:numPr>
          <w:ilvl w:val="0"/>
          <w:numId w:val="8"/>
        </w:numPr>
        <w:jc w:val="both"/>
        <w:rPr>
          <w:b/>
        </w:rPr>
      </w:pPr>
      <w:r>
        <w:rPr>
          <w:b/>
        </w:rPr>
        <w:t>Judicial Security Overview</w:t>
      </w:r>
    </w:p>
    <w:p w14:paraId="7559F642" w14:textId="77777777" w:rsidR="00AD04E3" w:rsidRPr="00AD04E3" w:rsidRDefault="00AD04E3" w:rsidP="00AD04E3">
      <w:pPr>
        <w:pStyle w:val="ListParagraph"/>
        <w:numPr>
          <w:ilvl w:val="1"/>
          <w:numId w:val="2"/>
        </w:numPr>
        <w:jc w:val="both"/>
        <w:rPr>
          <w:b/>
        </w:rPr>
      </w:pPr>
      <w:r>
        <w:t>Review practices in judicial security</w:t>
      </w:r>
    </w:p>
    <w:p w14:paraId="174928B5" w14:textId="77777777" w:rsidR="00AD04E3" w:rsidRPr="005243E4" w:rsidRDefault="00AD04E3" w:rsidP="00553721">
      <w:pPr>
        <w:pStyle w:val="ListParagraph"/>
        <w:numPr>
          <w:ilvl w:val="1"/>
          <w:numId w:val="2"/>
        </w:numPr>
        <w:jc w:val="both"/>
        <w:rPr>
          <w:b/>
        </w:rPr>
      </w:pPr>
      <w:r>
        <w:t>Overview of changes in legislation, practices and case law related to judicial security</w:t>
      </w:r>
    </w:p>
    <w:p w14:paraId="713AE4F8" w14:textId="77777777" w:rsidR="005243E4" w:rsidRDefault="005243E4" w:rsidP="005243E4">
      <w:pPr>
        <w:ind w:left="360"/>
        <w:jc w:val="both"/>
        <w:rPr>
          <w:b/>
        </w:rPr>
      </w:pPr>
    </w:p>
    <w:p w14:paraId="214385B2" w14:textId="77777777" w:rsidR="005243E4" w:rsidRDefault="005243E4" w:rsidP="005243E4">
      <w:pPr>
        <w:ind w:left="360"/>
        <w:jc w:val="both"/>
        <w:rPr>
          <w:b/>
        </w:rPr>
      </w:pPr>
      <w:r w:rsidRPr="005243E4">
        <w:rPr>
          <w:b/>
        </w:rPr>
        <w:t>References:</w:t>
      </w:r>
    </w:p>
    <w:p w14:paraId="4EB42D4E" w14:textId="77777777" w:rsidR="005243E4" w:rsidRPr="005243E4" w:rsidRDefault="005243E4" w:rsidP="005243E4">
      <w:pPr>
        <w:ind w:left="360"/>
        <w:jc w:val="both"/>
        <w:rPr>
          <w:b/>
        </w:rPr>
      </w:pPr>
    </w:p>
    <w:p w14:paraId="366CD076" w14:textId="77777777" w:rsidR="005243E4" w:rsidRDefault="005243E4" w:rsidP="005243E4">
      <w:pPr>
        <w:ind w:left="360"/>
      </w:pPr>
      <w:r>
        <w:t xml:space="preserve">CCJ/COSCA, “Court Security Handbook: Ten Essential Elements for Court Security and Emergency Preparedness” </w:t>
      </w:r>
    </w:p>
    <w:p w14:paraId="07860DB2" w14:textId="77777777" w:rsidR="005243E4" w:rsidRPr="009635B6" w:rsidRDefault="005243E4" w:rsidP="005243E4">
      <w:pPr>
        <w:ind w:left="360"/>
      </w:pPr>
    </w:p>
    <w:p w14:paraId="3CC81C70" w14:textId="77777777" w:rsidR="005243E4" w:rsidRDefault="005243E4" w:rsidP="005243E4">
      <w:pPr>
        <w:ind w:left="360"/>
        <w:rPr>
          <w:rStyle w:val="Hyperlink"/>
        </w:rPr>
      </w:pPr>
      <w:r w:rsidRPr="005243E4">
        <w:rPr>
          <w:rStyle w:val="Hyperlink"/>
          <w:color w:val="auto"/>
          <w:u w:val="none"/>
        </w:rPr>
        <w:t>Court Security for Judges, Officers and other Court Personnel, Judge Richard Carter and Constable Randy Harris</w:t>
      </w:r>
    </w:p>
    <w:p w14:paraId="63F7C60F" w14:textId="77777777" w:rsidR="005243E4" w:rsidRDefault="005243E4" w:rsidP="005243E4">
      <w:pPr>
        <w:ind w:left="360"/>
      </w:pPr>
    </w:p>
    <w:p w14:paraId="33761154" w14:textId="77777777" w:rsidR="005243E4" w:rsidRDefault="005243E4" w:rsidP="005243E4">
      <w:pPr>
        <w:ind w:left="360"/>
      </w:pPr>
    </w:p>
    <w:p w14:paraId="5383A239" w14:textId="77777777" w:rsidR="005243E4" w:rsidRDefault="005243E4" w:rsidP="005243E4">
      <w:pPr>
        <w:ind w:left="360"/>
      </w:pPr>
      <w:r>
        <w:t xml:space="preserve">Rob </w:t>
      </w:r>
      <w:proofErr w:type="spellStart"/>
      <w:r>
        <w:t>DeGroot</w:t>
      </w:r>
      <w:proofErr w:type="spellEnd"/>
      <w:r>
        <w:t>, “The Customer is not Always Right: A Common Sense Approach to Safety and Security in the Courthouse”</w:t>
      </w:r>
    </w:p>
    <w:p w14:paraId="7BF35552" w14:textId="77777777" w:rsidR="005243E4" w:rsidRDefault="005243E4" w:rsidP="005243E4">
      <w:pPr>
        <w:ind w:left="360"/>
      </w:pPr>
    </w:p>
    <w:p w14:paraId="411D2B37" w14:textId="77777777" w:rsidR="005243E4" w:rsidRDefault="005243E4" w:rsidP="005243E4">
      <w:pPr>
        <w:ind w:left="360"/>
      </w:pPr>
      <w:r>
        <w:t xml:space="preserve">Timothy F. </w:t>
      </w:r>
      <w:proofErr w:type="spellStart"/>
      <w:r>
        <w:t>Fautsko</w:t>
      </w:r>
      <w:proofErr w:type="spellEnd"/>
      <w:r>
        <w:t>, (2008) “Entry Screening: The Court’s First Line of Defense”</w:t>
      </w:r>
    </w:p>
    <w:p w14:paraId="170FC3B6" w14:textId="77777777" w:rsidR="005243E4" w:rsidRDefault="005243E4" w:rsidP="005243E4">
      <w:pPr>
        <w:ind w:left="360"/>
      </w:pPr>
    </w:p>
    <w:p w14:paraId="52D3D1B7" w14:textId="77777777" w:rsidR="005243E4" w:rsidRDefault="005243E4" w:rsidP="005243E4">
      <w:pPr>
        <w:ind w:left="360"/>
        <w:rPr>
          <w:rStyle w:val="Hyperlink"/>
        </w:rPr>
      </w:pPr>
      <w:proofErr w:type="spellStart"/>
      <w:r>
        <w:t>Timm</w:t>
      </w:r>
      <w:proofErr w:type="spellEnd"/>
      <w:r>
        <w:t xml:space="preserve"> </w:t>
      </w:r>
      <w:proofErr w:type="spellStart"/>
      <w:r>
        <w:t>Frutsko</w:t>
      </w:r>
      <w:proofErr w:type="spellEnd"/>
      <w:r>
        <w:t xml:space="preserve">, Steve </w:t>
      </w:r>
      <w:proofErr w:type="spellStart"/>
      <w:r>
        <w:t>Berson</w:t>
      </w:r>
      <w:proofErr w:type="spellEnd"/>
      <w:r>
        <w:t xml:space="preserve"> and Steve </w:t>
      </w:r>
      <w:proofErr w:type="spellStart"/>
      <w:r>
        <w:t>Swensen</w:t>
      </w:r>
      <w:proofErr w:type="spellEnd"/>
      <w:r>
        <w:t xml:space="preserve">, “Courthouse Security Incidents Trending Upward: The Challenges Facing State Courts Today,” (2012) </w:t>
      </w:r>
      <w:r w:rsidRPr="00553721">
        <w:rPr>
          <w:rStyle w:val="Hyperlink"/>
        </w:rPr>
        <w:t>http://www.ncsc.org/sitecore/content/microsites/future-trends-2012/home/better-courts/1-1-courthouse-security-incidents.aspx</w:t>
      </w:r>
    </w:p>
    <w:p w14:paraId="232146F4" w14:textId="77777777" w:rsidR="005243E4" w:rsidRDefault="005243E4" w:rsidP="005243E4">
      <w:pPr>
        <w:ind w:left="360"/>
      </w:pPr>
    </w:p>
    <w:p w14:paraId="4EABC094" w14:textId="77777777" w:rsidR="005243E4" w:rsidRDefault="005243E4" w:rsidP="005243E4">
      <w:pPr>
        <w:ind w:left="360"/>
        <w:rPr>
          <w:rStyle w:val="Hyperlink"/>
        </w:rPr>
      </w:pPr>
      <w:r>
        <w:t xml:space="preserve"> “Gavel to Gavel,” </w:t>
      </w:r>
      <w:r w:rsidRPr="00553721">
        <w:rPr>
          <w:rStyle w:val="Hyperlink"/>
        </w:rPr>
        <w:t>http://gaveltogavel.us/tag/texas/</w:t>
      </w:r>
    </w:p>
    <w:p w14:paraId="2E07C19D" w14:textId="77777777" w:rsidR="005243E4" w:rsidRDefault="005243E4" w:rsidP="005243E4">
      <w:pPr>
        <w:ind w:left="360"/>
      </w:pPr>
    </w:p>
    <w:p w14:paraId="7A9B6153" w14:textId="77777777" w:rsidR="005243E4" w:rsidRPr="005243E4" w:rsidRDefault="005243E4" w:rsidP="005243E4">
      <w:pPr>
        <w:ind w:left="360"/>
        <w:rPr>
          <w:color w:val="666666"/>
          <w:shd w:val="clear" w:color="auto" w:fill="FFFFFF"/>
        </w:rPr>
      </w:pPr>
      <w:r w:rsidRPr="005243E4">
        <w:rPr>
          <w:rStyle w:val="Hyperlink"/>
          <w:color w:val="auto"/>
          <w:u w:val="none"/>
        </w:rPr>
        <w:t>History of Court Security</w:t>
      </w:r>
      <w:r w:rsidRPr="005243E4">
        <w:rPr>
          <w:rStyle w:val="Hyperlink"/>
          <w:u w:val="none"/>
        </w:rPr>
        <w:t xml:space="preserve"> </w:t>
      </w:r>
      <w:hyperlink r:id="rId12" w:history="1">
        <w:r w:rsidRPr="000049AC">
          <w:rPr>
            <w:rStyle w:val="Hyperlink"/>
          </w:rPr>
          <w:t>http://sheriffs.org/sites/default/files/tb/images/benefits/HistoryCS.doc</w:t>
        </w:r>
      </w:hyperlink>
      <w:r w:rsidRPr="005243E4">
        <w:rPr>
          <w:rStyle w:val="Hyperlink"/>
          <w:u w:val="none"/>
        </w:rPr>
        <w:t xml:space="preserve"> </w:t>
      </w:r>
    </w:p>
    <w:p w14:paraId="35F19D52" w14:textId="77777777" w:rsidR="005243E4" w:rsidRPr="005243E4" w:rsidRDefault="005243E4" w:rsidP="005243E4">
      <w:pPr>
        <w:ind w:left="360"/>
        <w:rPr>
          <w:color w:val="666666"/>
          <w:shd w:val="clear" w:color="auto" w:fill="FFFFFF"/>
        </w:rPr>
      </w:pPr>
    </w:p>
    <w:p w14:paraId="112D297C" w14:textId="77777777" w:rsidR="005243E4" w:rsidRPr="005243E4" w:rsidRDefault="005243E4" w:rsidP="005243E4">
      <w:pPr>
        <w:ind w:left="360"/>
        <w:rPr>
          <w:color w:val="666666"/>
          <w:shd w:val="clear" w:color="auto" w:fill="FFFFFF"/>
        </w:rPr>
      </w:pPr>
    </w:p>
    <w:p w14:paraId="0C9D3398" w14:textId="77777777" w:rsidR="005243E4" w:rsidRDefault="005243E4" w:rsidP="005243E4">
      <w:pPr>
        <w:ind w:left="360"/>
      </w:pPr>
      <w:r>
        <w:t xml:space="preserve">National Center for State Courts, “Court Security Resource Guide,” </w:t>
      </w:r>
      <w:r w:rsidRPr="005243E4">
        <w:rPr>
          <w:rStyle w:val="Hyperlink"/>
        </w:rPr>
        <w:t>http://www.ncsc.org/Topics/Courthouse-Facilities/Court-Security/Resource-Guide.aspx</w:t>
      </w:r>
    </w:p>
    <w:p w14:paraId="05D114E1" w14:textId="77777777" w:rsidR="005243E4" w:rsidRDefault="005243E4" w:rsidP="005243E4">
      <w:pPr>
        <w:ind w:left="360"/>
      </w:pPr>
    </w:p>
    <w:p w14:paraId="411ABA3B" w14:textId="77777777" w:rsidR="005243E4" w:rsidRDefault="005243E4" w:rsidP="005243E4">
      <w:pPr>
        <w:ind w:left="360"/>
      </w:pPr>
      <w:r>
        <w:t>National Center for State Courts (2010), “Guidelines for Implementing Best Practices in Court Building Security”</w:t>
      </w:r>
    </w:p>
    <w:p w14:paraId="39672FA4" w14:textId="77777777" w:rsidR="005243E4" w:rsidRDefault="005243E4" w:rsidP="005243E4">
      <w:pPr>
        <w:ind w:left="360"/>
      </w:pPr>
    </w:p>
    <w:p w14:paraId="469B87FC" w14:textId="77777777" w:rsidR="005243E4" w:rsidRDefault="005243E4" w:rsidP="005243E4">
      <w:pPr>
        <w:ind w:left="360"/>
      </w:pPr>
      <w:r>
        <w:t xml:space="preserve">National Center for State Courts, “Trends in State Courts,” </w:t>
      </w:r>
      <w:r w:rsidRPr="005243E4">
        <w:rPr>
          <w:rStyle w:val="Hyperlink"/>
        </w:rPr>
        <w:t>http://www.ncsc.org/sitecore/content/microsites/future-trends-2012/home/better-courts/1-1-courthouse-security-incidents.aspx</w:t>
      </w:r>
    </w:p>
    <w:p w14:paraId="57BCAD7B" w14:textId="77777777" w:rsidR="005243E4" w:rsidRDefault="005243E4" w:rsidP="005243E4">
      <w:pPr>
        <w:ind w:left="360"/>
      </w:pPr>
    </w:p>
    <w:p w14:paraId="7C5826D7" w14:textId="77777777" w:rsidR="005243E4" w:rsidRDefault="005243E4" w:rsidP="005243E4">
      <w:pPr>
        <w:ind w:left="360"/>
      </w:pPr>
      <w:r>
        <w:t>National Incident Management System (NIMS) (2011), “Overview”</w:t>
      </w:r>
    </w:p>
    <w:p w14:paraId="5CD6FA2B" w14:textId="77777777" w:rsidR="005243E4" w:rsidRDefault="005243E4" w:rsidP="005243E4">
      <w:pPr>
        <w:ind w:left="360"/>
      </w:pPr>
    </w:p>
    <w:p w14:paraId="3E482B66" w14:textId="77777777" w:rsidR="005243E4" w:rsidRDefault="005243E4" w:rsidP="005243E4">
      <w:pPr>
        <w:ind w:left="360"/>
      </w:pPr>
      <w:r>
        <w:t xml:space="preserve">National Institute of Justice, “Court Security and the Transportation of Prisoners,” </w:t>
      </w:r>
      <w:r w:rsidRPr="005243E4">
        <w:rPr>
          <w:rStyle w:val="Hyperlink"/>
        </w:rPr>
        <w:t>http://www.sheriffs.org/sites/default/files/tb/images/benefits/fs000165.pdf</w:t>
      </w:r>
    </w:p>
    <w:p w14:paraId="71B5B17B" w14:textId="77777777" w:rsidR="005243E4" w:rsidRDefault="005243E4" w:rsidP="005243E4">
      <w:pPr>
        <w:ind w:left="360"/>
      </w:pPr>
    </w:p>
    <w:p w14:paraId="6266BC2F" w14:textId="77777777" w:rsidR="005243E4" w:rsidRDefault="005243E4" w:rsidP="005243E4">
      <w:pPr>
        <w:ind w:left="360"/>
      </w:pPr>
      <w:r>
        <w:t xml:space="preserve">PoliceOne.com, “Courthouse Security,” </w:t>
      </w:r>
      <w:r w:rsidRPr="005243E4">
        <w:rPr>
          <w:rStyle w:val="Hyperlink"/>
        </w:rPr>
        <w:t>http://www.policeone.com/courthouse-security/</w:t>
      </w:r>
    </w:p>
    <w:p w14:paraId="1A4E44B2" w14:textId="77777777" w:rsidR="005243E4" w:rsidRDefault="005243E4" w:rsidP="005243E4">
      <w:pPr>
        <w:ind w:left="360"/>
      </w:pPr>
    </w:p>
    <w:p w14:paraId="47AE308A" w14:textId="77777777" w:rsidR="005243E4" w:rsidRDefault="005243E4" w:rsidP="005243E4">
      <w:pPr>
        <w:ind w:left="360"/>
      </w:pPr>
      <w:r>
        <w:t>Texas Code of Criminal Procedure, Chapter 102 – Cost Paid by Defendants</w:t>
      </w:r>
    </w:p>
    <w:p w14:paraId="0088E9BD" w14:textId="77777777" w:rsidR="005243E4" w:rsidRDefault="005243E4" w:rsidP="005243E4">
      <w:pPr>
        <w:ind w:left="360"/>
      </w:pPr>
    </w:p>
    <w:p w14:paraId="1F7BB5B4" w14:textId="77777777" w:rsidR="005243E4" w:rsidRDefault="005243E4" w:rsidP="005243E4">
      <w:pPr>
        <w:ind w:left="360"/>
      </w:pPr>
      <w:r>
        <w:t xml:space="preserve">Katie </w:t>
      </w:r>
      <w:proofErr w:type="spellStart"/>
      <w:r>
        <w:t>Tefft</w:t>
      </w:r>
      <w:proofErr w:type="spellEnd"/>
      <w:r>
        <w:t>, Program Attorney, TMCED, “Municipal Court Building Security and Technology Funds”</w:t>
      </w:r>
    </w:p>
    <w:p w14:paraId="67F67D27" w14:textId="77777777" w:rsidR="005243E4" w:rsidRDefault="005243E4" w:rsidP="005243E4">
      <w:pPr>
        <w:ind w:left="360"/>
      </w:pPr>
    </w:p>
    <w:p w14:paraId="762C2070" w14:textId="77777777" w:rsidR="005243E4" w:rsidRDefault="005243E4" w:rsidP="005243E4">
      <w:pPr>
        <w:ind w:left="360"/>
      </w:pPr>
      <w:r>
        <w:t xml:space="preserve">U.S. Department of Justice, United States Marshal Service, “Strategic Plan: 2012-2016, Online Edition” </w:t>
      </w:r>
      <w:hyperlink r:id="rId13" w:history="1">
        <w:r w:rsidRPr="000049AC">
          <w:rPr>
            <w:rStyle w:val="Hyperlink"/>
          </w:rPr>
          <w:t>www.usmarshals.gov</w:t>
        </w:r>
      </w:hyperlink>
      <w:r>
        <w:t xml:space="preserve"> </w:t>
      </w:r>
    </w:p>
    <w:p w14:paraId="15E553FD" w14:textId="77777777" w:rsidR="005243E4" w:rsidRDefault="005243E4" w:rsidP="005243E4">
      <w:pPr>
        <w:ind w:left="360"/>
      </w:pPr>
    </w:p>
    <w:p w14:paraId="1913791F" w14:textId="7B6F03EA" w:rsidR="005243E4" w:rsidRPr="005243E4" w:rsidRDefault="005243E4" w:rsidP="005243E4">
      <w:pPr>
        <w:ind w:left="360"/>
        <w:rPr>
          <w:b/>
        </w:rPr>
      </w:pPr>
      <w:r>
        <w:t>Vermont Judicial Branch (1993), “Court Security Specialist”</w:t>
      </w:r>
    </w:p>
    <w:sectPr w:rsidR="005243E4" w:rsidRPr="005243E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FB866" w14:textId="77777777" w:rsidR="006471E8" w:rsidRDefault="006471E8" w:rsidP="004F19CB">
      <w:r>
        <w:separator/>
      </w:r>
    </w:p>
  </w:endnote>
  <w:endnote w:type="continuationSeparator" w:id="0">
    <w:p w14:paraId="2053C844" w14:textId="77777777" w:rsidR="006471E8" w:rsidRDefault="006471E8" w:rsidP="004F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0171" w14:textId="7F4C9E76" w:rsidR="00897347" w:rsidRPr="00897347" w:rsidRDefault="00897347">
    <w:pPr>
      <w:pStyle w:val="Footer"/>
      <w:pBdr>
        <w:top w:val="thinThickSmallGap" w:sz="24" w:space="1" w:color="622423" w:themeColor="accent2" w:themeShade="7F"/>
      </w:pBdr>
      <w:rPr>
        <w:rFonts w:asciiTheme="majorHAnsi" w:eastAsiaTheme="majorEastAsia" w:hAnsiTheme="majorHAnsi" w:cstheme="majorBidi"/>
        <w:sz w:val="20"/>
        <w:szCs w:val="20"/>
      </w:rPr>
    </w:pPr>
    <w:r w:rsidRPr="00897347">
      <w:rPr>
        <w:rFonts w:asciiTheme="majorHAnsi" w:eastAsiaTheme="majorEastAsia" w:hAnsiTheme="majorHAnsi" w:cstheme="majorBidi"/>
        <w:sz w:val="20"/>
        <w:szCs w:val="20"/>
      </w:rPr>
      <w:ptab w:relativeTo="margin" w:alignment="right" w:leader="none"/>
    </w:r>
    <w:r w:rsidRPr="00897347">
      <w:rPr>
        <w:rFonts w:asciiTheme="majorHAnsi" w:eastAsiaTheme="majorEastAsia" w:hAnsiTheme="majorHAnsi" w:cstheme="majorBidi"/>
        <w:sz w:val="20"/>
        <w:szCs w:val="20"/>
      </w:rPr>
      <w:t xml:space="preserve">Page </w:t>
    </w:r>
    <w:r w:rsidRPr="00897347">
      <w:rPr>
        <w:rFonts w:asciiTheme="minorHAnsi" w:eastAsiaTheme="minorEastAsia" w:hAnsiTheme="minorHAnsi" w:cstheme="minorBidi"/>
        <w:sz w:val="20"/>
        <w:szCs w:val="20"/>
      </w:rPr>
      <w:fldChar w:fldCharType="begin"/>
    </w:r>
    <w:r w:rsidRPr="00897347">
      <w:rPr>
        <w:sz w:val="20"/>
        <w:szCs w:val="20"/>
      </w:rPr>
      <w:instrText xml:space="preserve"> PAGE   \* MERGEFORMAT </w:instrText>
    </w:r>
    <w:r w:rsidRPr="00897347">
      <w:rPr>
        <w:rFonts w:asciiTheme="minorHAnsi" w:eastAsiaTheme="minorEastAsia" w:hAnsiTheme="minorHAnsi" w:cstheme="minorBidi"/>
        <w:sz w:val="20"/>
        <w:szCs w:val="20"/>
      </w:rPr>
      <w:fldChar w:fldCharType="separate"/>
    </w:r>
    <w:r w:rsidR="00795C48" w:rsidRPr="00795C48">
      <w:rPr>
        <w:rFonts w:asciiTheme="majorHAnsi" w:eastAsiaTheme="majorEastAsia" w:hAnsiTheme="majorHAnsi" w:cstheme="majorBidi"/>
        <w:noProof/>
        <w:sz w:val="20"/>
        <w:szCs w:val="20"/>
      </w:rPr>
      <w:t>2</w:t>
    </w:r>
    <w:r w:rsidRPr="00897347">
      <w:rPr>
        <w:rFonts w:asciiTheme="majorHAnsi" w:eastAsiaTheme="majorEastAsia" w:hAnsiTheme="majorHAnsi" w:cstheme="majorBidi"/>
        <w:noProof/>
        <w:sz w:val="20"/>
        <w:szCs w:val="20"/>
      </w:rPr>
      <w:fldChar w:fldCharType="end"/>
    </w:r>
  </w:p>
  <w:p w14:paraId="5DD71AB9" w14:textId="77777777" w:rsidR="00897347" w:rsidRDefault="00897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B9850" w14:textId="77777777" w:rsidR="006471E8" w:rsidRDefault="006471E8" w:rsidP="004F19CB">
      <w:r>
        <w:separator/>
      </w:r>
    </w:p>
  </w:footnote>
  <w:footnote w:type="continuationSeparator" w:id="0">
    <w:p w14:paraId="4504DDA5" w14:textId="77777777" w:rsidR="006471E8" w:rsidRDefault="006471E8" w:rsidP="004F1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CF1"/>
    <w:multiLevelType w:val="hybridMultilevel"/>
    <w:tmpl w:val="AC0A9E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AC241A"/>
    <w:multiLevelType w:val="hybridMultilevel"/>
    <w:tmpl w:val="5F6C28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AF14D3"/>
    <w:multiLevelType w:val="hybridMultilevel"/>
    <w:tmpl w:val="F77CE26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43566FFE"/>
    <w:multiLevelType w:val="multilevel"/>
    <w:tmpl w:val="63089076"/>
    <w:lvl w:ilvl="0">
      <w:start w:val="1"/>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4">
    <w:nsid w:val="52584E9C"/>
    <w:multiLevelType w:val="hybridMultilevel"/>
    <w:tmpl w:val="62E0B1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8AA0B52"/>
    <w:multiLevelType w:val="hybridMultilevel"/>
    <w:tmpl w:val="02A838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D855B3"/>
    <w:multiLevelType w:val="hybridMultilevel"/>
    <w:tmpl w:val="188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35462"/>
    <w:multiLevelType w:val="hybridMultilevel"/>
    <w:tmpl w:val="8F80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F4"/>
    <w:rsid w:val="0000619D"/>
    <w:rsid w:val="00023A8A"/>
    <w:rsid w:val="00030372"/>
    <w:rsid w:val="000816AA"/>
    <w:rsid w:val="000913C0"/>
    <w:rsid w:val="00101369"/>
    <w:rsid w:val="001576EB"/>
    <w:rsid w:val="00305E64"/>
    <w:rsid w:val="004B5508"/>
    <w:rsid w:val="004F19CB"/>
    <w:rsid w:val="005243E4"/>
    <w:rsid w:val="00553721"/>
    <w:rsid w:val="005A7B3D"/>
    <w:rsid w:val="00616C80"/>
    <w:rsid w:val="006471E8"/>
    <w:rsid w:val="006A2788"/>
    <w:rsid w:val="006A78C9"/>
    <w:rsid w:val="00722B70"/>
    <w:rsid w:val="007709A7"/>
    <w:rsid w:val="00795C48"/>
    <w:rsid w:val="007D7117"/>
    <w:rsid w:val="007E6F0F"/>
    <w:rsid w:val="008423B1"/>
    <w:rsid w:val="00862D49"/>
    <w:rsid w:val="0089293D"/>
    <w:rsid w:val="00897347"/>
    <w:rsid w:val="008A1692"/>
    <w:rsid w:val="008C3457"/>
    <w:rsid w:val="009154DF"/>
    <w:rsid w:val="009612A2"/>
    <w:rsid w:val="009635B6"/>
    <w:rsid w:val="00971E96"/>
    <w:rsid w:val="00A87929"/>
    <w:rsid w:val="00AD04E3"/>
    <w:rsid w:val="00B316C5"/>
    <w:rsid w:val="00B51068"/>
    <w:rsid w:val="00B662A9"/>
    <w:rsid w:val="00B7127C"/>
    <w:rsid w:val="00BB3BF4"/>
    <w:rsid w:val="00BC46AB"/>
    <w:rsid w:val="00BC6883"/>
    <w:rsid w:val="00CA02EB"/>
    <w:rsid w:val="00CA59BF"/>
    <w:rsid w:val="00D07BFE"/>
    <w:rsid w:val="00D44DD1"/>
    <w:rsid w:val="00D94927"/>
    <w:rsid w:val="00E00159"/>
    <w:rsid w:val="00E278E4"/>
    <w:rsid w:val="00E27E04"/>
    <w:rsid w:val="00E437D8"/>
    <w:rsid w:val="00E60569"/>
    <w:rsid w:val="00E638CF"/>
    <w:rsid w:val="00E951CA"/>
    <w:rsid w:val="00EE34CE"/>
    <w:rsid w:val="00F02B58"/>
    <w:rsid w:val="00F4480F"/>
    <w:rsid w:val="00F9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53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9CB"/>
    <w:pPr>
      <w:tabs>
        <w:tab w:val="center" w:pos="4680"/>
        <w:tab w:val="right" w:pos="9360"/>
      </w:tabs>
    </w:pPr>
  </w:style>
  <w:style w:type="character" w:customStyle="1" w:styleId="HeaderChar">
    <w:name w:val="Header Char"/>
    <w:basedOn w:val="DefaultParagraphFont"/>
    <w:link w:val="Header"/>
    <w:uiPriority w:val="99"/>
    <w:rsid w:val="004F19CB"/>
  </w:style>
  <w:style w:type="paragraph" w:styleId="Footer">
    <w:name w:val="footer"/>
    <w:basedOn w:val="Normal"/>
    <w:link w:val="FooterChar"/>
    <w:uiPriority w:val="99"/>
    <w:unhideWhenUsed/>
    <w:rsid w:val="004F19CB"/>
    <w:pPr>
      <w:tabs>
        <w:tab w:val="center" w:pos="4680"/>
        <w:tab w:val="right" w:pos="9360"/>
      </w:tabs>
    </w:pPr>
  </w:style>
  <w:style w:type="character" w:customStyle="1" w:styleId="FooterChar">
    <w:name w:val="Footer Char"/>
    <w:basedOn w:val="DefaultParagraphFont"/>
    <w:link w:val="Footer"/>
    <w:uiPriority w:val="99"/>
    <w:rsid w:val="004F19CB"/>
  </w:style>
  <w:style w:type="paragraph" w:styleId="BalloonText">
    <w:name w:val="Balloon Text"/>
    <w:basedOn w:val="Normal"/>
    <w:link w:val="BalloonTextChar"/>
    <w:uiPriority w:val="99"/>
    <w:semiHidden/>
    <w:unhideWhenUsed/>
    <w:rsid w:val="004F19CB"/>
    <w:rPr>
      <w:rFonts w:ascii="Tahoma" w:hAnsi="Tahoma" w:cs="Tahoma"/>
      <w:sz w:val="16"/>
      <w:szCs w:val="16"/>
    </w:rPr>
  </w:style>
  <w:style w:type="character" w:customStyle="1" w:styleId="BalloonTextChar">
    <w:name w:val="Balloon Text Char"/>
    <w:basedOn w:val="DefaultParagraphFont"/>
    <w:link w:val="BalloonText"/>
    <w:uiPriority w:val="99"/>
    <w:semiHidden/>
    <w:rsid w:val="004F19CB"/>
    <w:rPr>
      <w:rFonts w:ascii="Tahoma" w:hAnsi="Tahoma" w:cs="Tahoma"/>
      <w:sz w:val="16"/>
      <w:szCs w:val="16"/>
    </w:rPr>
  </w:style>
  <w:style w:type="paragraph" w:styleId="Subtitle">
    <w:name w:val="Subtitle"/>
    <w:basedOn w:val="Normal"/>
    <w:link w:val="SubtitleChar"/>
    <w:qFormat/>
    <w:rsid w:val="009612A2"/>
    <w:pPr>
      <w:jc w:val="center"/>
    </w:pPr>
    <w:rPr>
      <w:rFonts w:ascii="Times New Roman" w:eastAsia="Times New Roman" w:hAnsi="Times New Roman" w:cs="Times New Roman"/>
      <w:sz w:val="40"/>
    </w:rPr>
  </w:style>
  <w:style w:type="character" w:customStyle="1" w:styleId="SubtitleChar">
    <w:name w:val="Subtitle Char"/>
    <w:basedOn w:val="DefaultParagraphFont"/>
    <w:link w:val="Subtitle"/>
    <w:rsid w:val="009612A2"/>
    <w:rPr>
      <w:rFonts w:ascii="Times New Roman" w:eastAsia="Times New Roman" w:hAnsi="Times New Roman" w:cs="Times New Roman"/>
      <w:sz w:val="40"/>
    </w:rPr>
  </w:style>
  <w:style w:type="character" w:styleId="Hyperlink">
    <w:name w:val="Hyperlink"/>
    <w:uiPriority w:val="99"/>
    <w:rsid w:val="009612A2"/>
    <w:rPr>
      <w:color w:val="0000FF"/>
      <w:u w:val="single"/>
    </w:rPr>
  </w:style>
  <w:style w:type="paragraph" w:styleId="ListParagraph">
    <w:name w:val="List Paragraph"/>
    <w:basedOn w:val="Normal"/>
    <w:uiPriority w:val="34"/>
    <w:qFormat/>
    <w:rsid w:val="00023A8A"/>
    <w:pPr>
      <w:ind w:left="720"/>
      <w:contextualSpacing/>
    </w:pPr>
  </w:style>
  <w:style w:type="character" w:styleId="HTMLCite">
    <w:name w:val="HTML Cite"/>
    <w:basedOn w:val="DefaultParagraphFont"/>
    <w:uiPriority w:val="99"/>
    <w:semiHidden/>
    <w:unhideWhenUsed/>
    <w:rsid w:val="00D07BFE"/>
    <w:rPr>
      <w:i/>
      <w:iCs/>
    </w:rPr>
  </w:style>
  <w:style w:type="paragraph" w:styleId="EndnoteText">
    <w:name w:val="endnote text"/>
    <w:basedOn w:val="Normal"/>
    <w:link w:val="EndnoteTextChar"/>
    <w:uiPriority w:val="99"/>
    <w:semiHidden/>
    <w:unhideWhenUsed/>
    <w:rsid w:val="00862D49"/>
    <w:rPr>
      <w:sz w:val="20"/>
      <w:szCs w:val="20"/>
    </w:rPr>
  </w:style>
  <w:style w:type="character" w:customStyle="1" w:styleId="EndnoteTextChar">
    <w:name w:val="Endnote Text Char"/>
    <w:basedOn w:val="DefaultParagraphFont"/>
    <w:link w:val="EndnoteText"/>
    <w:uiPriority w:val="99"/>
    <w:semiHidden/>
    <w:rsid w:val="00862D49"/>
    <w:rPr>
      <w:sz w:val="20"/>
      <w:szCs w:val="20"/>
    </w:rPr>
  </w:style>
  <w:style w:type="character" w:styleId="EndnoteReference">
    <w:name w:val="endnote reference"/>
    <w:basedOn w:val="DefaultParagraphFont"/>
    <w:uiPriority w:val="99"/>
    <w:semiHidden/>
    <w:unhideWhenUsed/>
    <w:rsid w:val="00862D49"/>
    <w:rPr>
      <w:vertAlign w:val="superscript"/>
    </w:rPr>
  </w:style>
  <w:style w:type="paragraph" w:styleId="FootnoteText">
    <w:name w:val="footnote text"/>
    <w:basedOn w:val="Normal"/>
    <w:link w:val="FootnoteTextChar"/>
    <w:uiPriority w:val="99"/>
    <w:semiHidden/>
    <w:unhideWhenUsed/>
    <w:rsid w:val="00CA02EB"/>
    <w:rPr>
      <w:sz w:val="20"/>
      <w:szCs w:val="20"/>
    </w:rPr>
  </w:style>
  <w:style w:type="character" w:customStyle="1" w:styleId="FootnoteTextChar">
    <w:name w:val="Footnote Text Char"/>
    <w:basedOn w:val="DefaultParagraphFont"/>
    <w:link w:val="FootnoteText"/>
    <w:uiPriority w:val="99"/>
    <w:semiHidden/>
    <w:rsid w:val="00CA02EB"/>
    <w:rPr>
      <w:sz w:val="20"/>
      <w:szCs w:val="20"/>
    </w:rPr>
  </w:style>
  <w:style w:type="character" w:styleId="FootnoteReference">
    <w:name w:val="footnote reference"/>
    <w:basedOn w:val="DefaultParagraphFont"/>
    <w:uiPriority w:val="99"/>
    <w:semiHidden/>
    <w:unhideWhenUsed/>
    <w:rsid w:val="00CA02EB"/>
    <w:rPr>
      <w:vertAlign w:val="superscript"/>
    </w:rPr>
  </w:style>
  <w:style w:type="table" w:styleId="TableGrid">
    <w:name w:val="Table Grid"/>
    <w:basedOn w:val="TableNormal"/>
    <w:uiPriority w:val="59"/>
    <w:rsid w:val="00897347"/>
    <w:pPr>
      <w:jc w:val="both"/>
    </w:pPr>
    <w:rPr>
      <w:rFonts w:ascii="Goudy Old Style" w:hAnsi="Goudy Old Style"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87929"/>
    <w:rPr>
      <w:sz w:val="16"/>
      <w:szCs w:val="16"/>
    </w:rPr>
  </w:style>
  <w:style w:type="paragraph" w:styleId="CommentText">
    <w:name w:val="annotation text"/>
    <w:basedOn w:val="Normal"/>
    <w:link w:val="CommentTextChar"/>
    <w:uiPriority w:val="99"/>
    <w:semiHidden/>
    <w:unhideWhenUsed/>
    <w:rsid w:val="00A87929"/>
    <w:rPr>
      <w:sz w:val="20"/>
      <w:szCs w:val="20"/>
    </w:rPr>
  </w:style>
  <w:style w:type="character" w:customStyle="1" w:styleId="CommentTextChar">
    <w:name w:val="Comment Text Char"/>
    <w:basedOn w:val="DefaultParagraphFont"/>
    <w:link w:val="CommentText"/>
    <w:uiPriority w:val="99"/>
    <w:semiHidden/>
    <w:rsid w:val="00A87929"/>
    <w:rPr>
      <w:sz w:val="20"/>
      <w:szCs w:val="20"/>
    </w:rPr>
  </w:style>
  <w:style w:type="paragraph" w:styleId="CommentSubject">
    <w:name w:val="annotation subject"/>
    <w:basedOn w:val="CommentText"/>
    <w:next w:val="CommentText"/>
    <w:link w:val="CommentSubjectChar"/>
    <w:uiPriority w:val="99"/>
    <w:semiHidden/>
    <w:unhideWhenUsed/>
    <w:rsid w:val="00A87929"/>
    <w:rPr>
      <w:b/>
      <w:bCs/>
    </w:rPr>
  </w:style>
  <w:style w:type="character" w:customStyle="1" w:styleId="CommentSubjectChar">
    <w:name w:val="Comment Subject Char"/>
    <w:basedOn w:val="CommentTextChar"/>
    <w:link w:val="CommentSubject"/>
    <w:uiPriority w:val="99"/>
    <w:semiHidden/>
    <w:rsid w:val="00A87929"/>
    <w:rPr>
      <w:b/>
      <w:bCs/>
      <w:sz w:val="20"/>
      <w:szCs w:val="20"/>
    </w:rPr>
  </w:style>
  <w:style w:type="character" w:styleId="FollowedHyperlink">
    <w:name w:val="FollowedHyperlink"/>
    <w:basedOn w:val="DefaultParagraphFont"/>
    <w:uiPriority w:val="99"/>
    <w:semiHidden/>
    <w:unhideWhenUsed/>
    <w:rsid w:val="005537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9CB"/>
    <w:pPr>
      <w:tabs>
        <w:tab w:val="center" w:pos="4680"/>
        <w:tab w:val="right" w:pos="9360"/>
      </w:tabs>
    </w:pPr>
  </w:style>
  <w:style w:type="character" w:customStyle="1" w:styleId="HeaderChar">
    <w:name w:val="Header Char"/>
    <w:basedOn w:val="DefaultParagraphFont"/>
    <w:link w:val="Header"/>
    <w:uiPriority w:val="99"/>
    <w:rsid w:val="004F19CB"/>
  </w:style>
  <w:style w:type="paragraph" w:styleId="Footer">
    <w:name w:val="footer"/>
    <w:basedOn w:val="Normal"/>
    <w:link w:val="FooterChar"/>
    <w:uiPriority w:val="99"/>
    <w:unhideWhenUsed/>
    <w:rsid w:val="004F19CB"/>
    <w:pPr>
      <w:tabs>
        <w:tab w:val="center" w:pos="4680"/>
        <w:tab w:val="right" w:pos="9360"/>
      </w:tabs>
    </w:pPr>
  </w:style>
  <w:style w:type="character" w:customStyle="1" w:styleId="FooterChar">
    <w:name w:val="Footer Char"/>
    <w:basedOn w:val="DefaultParagraphFont"/>
    <w:link w:val="Footer"/>
    <w:uiPriority w:val="99"/>
    <w:rsid w:val="004F19CB"/>
  </w:style>
  <w:style w:type="paragraph" w:styleId="BalloonText">
    <w:name w:val="Balloon Text"/>
    <w:basedOn w:val="Normal"/>
    <w:link w:val="BalloonTextChar"/>
    <w:uiPriority w:val="99"/>
    <w:semiHidden/>
    <w:unhideWhenUsed/>
    <w:rsid w:val="004F19CB"/>
    <w:rPr>
      <w:rFonts w:ascii="Tahoma" w:hAnsi="Tahoma" w:cs="Tahoma"/>
      <w:sz w:val="16"/>
      <w:szCs w:val="16"/>
    </w:rPr>
  </w:style>
  <w:style w:type="character" w:customStyle="1" w:styleId="BalloonTextChar">
    <w:name w:val="Balloon Text Char"/>
    <w:basedOn w:val="DefaultParagraphFont"/>
    <w:link w:val="BalloonText"/>
    <w:uiPriority w:val="99"/>
    <w:semiHidden/>
    <w:rsid w:val="004F19CB"/>
    <w:rPr>
      <w:rFonts w:ascii="Tahoma" w:hAnsi="Tahoma" w:cs="Tahoma"/>
      <w:sz w:val="16"/>
      <w:szCs w:val="16"/>
    </w:rPr>
  </w:style>
  <w:style w:type="paragraph" w:styleId="Subtitle">
    <w:name w:val="Subtitle"/>
    <w:basedOn w:val="Normal"/>
    <w:link w:val="SubtitleChar"/>
    <w:qFormat/>
    <w:rsid w:val="009612A2"/>
    <w:pPr>
      <w:jc w:val="center"/>
    </w:pPr>
    <w:rPr>
      <w:rFonts w:ascii="Times New Roman" w:eastAsia="Times New Roman" w:hAnsi="Times New Roman" w:cs="Times New Roman"/>
      <w:sz w:val="40"/>
    </w:rPr>
  </w:style>
  <w:style w:type="character" w:customStyle="1" w:styleId="SubtitleChar">
    <w:name w:val="Subtitle Char"/>
    <w:basedOn w:val="DefaultParagraphFont"/>
    <w:link w:val="Subtitle"/>
    <w:rsid w:val="009612A2"/>
    <w:rPr>
      <w:rFonts w:ascii="Times New Roman" w:eastAsia="Times New Roman" w:hAnsi="Times New Roman" w:cs="Times New Roman"/>
      <w:sz w:val="40"/>
    </w:rPr>
  </w:style>
  <w:style w:type="character" w:styleId="Hyperlink">
    <w:name w:val="Hyperlink"/>
    <w:uiPriority w:val="99"/>
    <w:rsid w:val="009612A2"/>
    <w:rPr>
      <w:color w:val="0000FF"/>
      <w:u w:val="single"/>
    </w:rPr>
  </w:style>
  <w:style w:type="paragraph" w:styleId="ListParagraph">
    <w:name w:val="List Paragraph"/>
    <w:basedOn w:val="Normal"/>
    <w:uiPriority w:val="34"/>
    <w:qFormat/>
    <w:rsid w:val="00023A8A"/>
    <w:pPr>
      <w:ind w:left="720"/>
      <w:contextualSpacing/>
    </w:pPr>
  </w:style>
  <w:style w:type="character" w:styleId="HTMLCite">
    <w:name w:val="HTML Cite"/>
    <w:basedOn w:val="DefaultParagraphFont"/>
    <w:uiPriority w:val="99"/>
    <w:semiHidden/>
    <w:unhideWhenUsed/>
    <w:rsid w:val="00D07BFE"/>
    <w:rPr>
      <w:i/>
      <w:iCs/>
    </w:rPr>
  </w:style>
  <w:style w:type="paragraph" w:styleId="EndnoteText">
    <w:name w:val="endnote text"/>
    <w:basedOn w:val="Normal"/>
    <w:link w:val="EndnoteTextChar"/>
    <w:uiPriority w:val="99"/>
    <w:semiHidden/>
    <w:unhideWhenUsed/>
    <w:rsid w:val="00862D49"/>
    <w:rPr>
      <w:sz w:val="20"/>
      <w:szCs w:val="20"/>
    </w:rPr>
  </w:style>
  <w:style w:type="character" w:customStyle="1" w:styleId="EndnoteTextChar">
    <w:name w:val="Endnote Text Char"/>
    <w:basedOn w:val="DefaultParagraphFont"/>
    <w:link w:val="EndnoteText"/>
    <w:uiPriority w:val="99"/>
    <w:semiHidden/>
    <w:rsid w:val="00862D49"/>
    <w:rPr>
      <w:sz w:val="20"/>
      <w:szCs w:val="20"/>
    </w:rPr>
  </w:style>
  <w:style w:type="character" w:styleId="EndnoteReference">
    <w:name w:val="endnote reference"/>
    <w:basedOn w:val="DefaultParagraphFont"/>
    <w:uiPriority w:val="99"/>
    <w:semiHidden/>
    <w:unhideWhenUsed/>
    <w:rsid w:val="00862D49"/>
    <w:rPr>
      <w:vertAlign w:val="superscript"/>
    </w:rPr>
  </w:style>
  <w:style w:type="paragraph" w:styleId="FootnoteText">
    <w:name w:val="footnote text"/>
    <w:basedOn w:val="Normal"/>
    <w:link w:val="FootnoteTextChar"/>
    <w:uiPriority w:val="99"/>
    <w:semiHidden/>
    <w:unhideWhenUsed/>
    <w:rsid w:val="00CA02EB"/>
    <w:rPr>
      <w:sz w:val="20"/>
      <w:szCs w:val="20"/>
    </w:rPr>
  </w:style>
  <w:style w:type="character" w:customStyle="1" w:styleId="FootnoteTextChar">
    <w:name w:val="Footnote Text Char"/>
    <w:basedOn w:val="DefaultParagraphFont"/>
    <w:link w:val="FootnoteText"/>
    <w:uiPriority w:val="99"/>
    <w:semiHidden/>
    <w:rsid w:val="00CA02EB"/>
    <w:rPr>
      <w:sz w:val="20"/>
      <w:szCs w:val="20"/>
    </w:rPr>
  </w:style>
  <w:style w:type="character" w:styleId="FootnoteReference">
    <w:name w:val="footnote reference"/>
    <w:basedOn w:val="DefaultParagraphFont"/>
    <w:uiPriority w:val="99"/>
    <w:semiHidden/>
    <w:unhideWhenUsed/>
    <w:rsid w:val="00CA02EB"/>
    <w:rPr>
      <w:vertAlign w:val="superscript"/>
    </w:rPr>
  </w:style>
  <w:style w:type="table" w:styleId="TableGrid">
    <w:name w:val="Table Grid"/>
    <w:basedOn w:val="TableNormal"/>
    <w:uiPriority w:val="59"/>
    <w:rsid w:val="00897347"/>
    <w:pPr>
      <w:jc w:val="both"/>
    </w:pPr>
    <w:rPr>
      <w:rFonts w:ascii="Goudy Old Style" w:hAnsi="Goudy Old Style"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87929"/>
    <w:rPr>
      <w:sz w:val="16"/>
      <w:szCs w:val="16"/>
    </w:rPr>
  </w:style>
  <w:style w:type="paragraph" w:styleId="CommentText">
    <w:name w:val="annotation text"/>
    <w:basedOn w:val="Normal"/>
    <w:link w:val="CommentTextChar"/>
    <w:uiPriority w:val="99"/>
    <w:semiHidden/>
    <w:unhideWhenUsed/>
    <w:rsid w:val="00A87929"/>
    <w:rPr>
      <w:sz w:val="20"/>
      <w:szCs w:val="20"/>
    </w:rPr>
  </w:style>
  <w:style w:type="character" w:customStyle="1" w:styleId="CommentTextChar">
    <w:name w:val="Comment Text Char"/>
    <w:basedOn w:val="DefaultParagraphFont"/>
    <w:link w:val="CommentText"/>
    <w:uiPriority w:val="99"/>
    <w:semiHidden/>
    <w:rsid w:val="00A87929"/>
    <w:rPr>
      <w:sz w:val="20"/>
      <w:szCs w:val="20"/>
    </w:rPr>
  </w:style>
  <w:style w:type="paragraph" w:styleId="CommentSubject">
    <w:name w:val="annotation subject"/>
    <w:basedOn w:val="CommentText"/>
    <w:next w:val="CommentText"/>
    <w:link w:val="CommentSubjectChar"/>
    <w:uiPriority w:val="99"/>
    <w:semiHidden/>
    <w:unhideWhenUsed/>
    <w:rsid w:val="00A87929"/>
    <w:rPr>
      <w:b/>
      <w:bCs/>
    </w:rPr>
  </w:style>
  <w:style w:type="character" w:customStyle="1" w:styleId="CommentSubjectChar">
    <w:name w:val="Comment Subject Char"/>
    <w:basedOn w:val="CommentTextChar"/>
    <w:link w:val="CommentSubject"/>
    <w:uiPriority w:val="99"/>
    <w:semiHidden/>
    <w:rsid w:val="00A87929"/>
    <w:rPr>
      <w:b/>
      <w:bCs/>
      <w:sz w:val="20"/>
      <w:szCs w:val="20"/>
    </w:rPr>
  </w:style>
  <w:style w:type="character" w:styleId="FollowedHyperlink">
    <w:name w:val="FollowedHyperlink"/>
    <w:basedOn w:val="DefaultParagraphFont"/>
    <w:uiPriority w:val="99"/>
    <w:semiHidden/>
    <w:unhideWhenUsed/>
    <w:rsid w:val="00553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marshal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riffs.org/sites/default/files/tb/images/benefits/HistoryC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ole.texa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cole.texa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419F-5DB4-44AC-99ED-FB8ECAB6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LRGVDCPA</dc:creator>
  <cp:lastModifiedBy>Susan Brundage</cp:lastModifiedBy>
  <cp:revision>2</cp:revision>
  <dcterms:created xsi:type="dcterms:W3CDTF">2018-10-25T15:48:00Z</dcterms:created>
  <dcterms:modified xsi:type="dcterms:W3CDTF">2018-10-25T15:48:00Z</dcterms:modified>
</cp:coreProperties>
</file>